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right="0" w:rightChars="0" w:firstLine="0"/>
        <w:jc w:val="center"/>
        <w:textAlignment w:val="auto"/>
        <w:outlineLvl w:val="9"/>
        <w:rPr>
          <w:rFonts w:hint="eastAsia" w:ascii="宋体" w:hAnsi="宋体" w:eastAsia="宋体" w:cs="宋体"/>
          <w:b/>
          <w:bCs/>
          <w:i w:val="0"/>
          <w:caps w:val="0"/>
          <w:color w:val="auto"/>
          <w:spacing w:val="0"/>
          <w:kern w:val="0"/>
          <w:sz w:val="24"/>
          <w:szCs w:val="24"/>
          <w:highlight w:val="none"/>
          <w:lang w:val="en-US" w:eastAsia="zh-CN" w:bidi="ar"/>
        </w:rPr>
      </w:pPr>
      <w:r>
        <w:rPr>
          <w:rFonts w:hint="eastAsia" w:ascii="宋体" w:hAnsi="宋体" w:eastAsia="宋体" w:cs="宋体"/>
          <w:b/>
          <w:bCs/>
          <w:i w:val="0"/>
          <w:caps w:val="0"/>
          <w:color w:val="auto"/>
          <w:spacing w:val="0"/>
          <w:kern w:val="0"/>
          <w:sz w:val="24"/>
          <w:szCs w:val="24"/>
          <w:highlight w:val="none"/>
          <w:lang w:val="en-US" w:eastAsia="zh-CN" w:bidi="ar"/>
        </w:rPr>
        <w:t>关于公布国务院部门涉企保证金目录清单的通知</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right="0" w:rightChars="0" w:firstLine="0"/>
        <w:jc w:val="center"/>
        <w:textAlignment w:val="auto"/>
        <w:outlineLvl w:val="9"/>
        <w:rPr>
          <w:rFonts w:hint="eastAsia" w:ascii="宋体" w:hAnsi="宋体" w:eastAsia="宋体" w:cs="宋体"/>
          <w:b w:val="0"/>
          <w:bCs w:val="0"/>
          <w:i w:val="0"/>
          <w:caps w:val="0"/>
          <w:color w:val="auto"/>
          <w:spacing w:val="0"/>
          <w:kern w:val="0"/>
          <w:sz w:val="24"/>
          <w:szCs w:val="24"/>
          <w:highlight w:val="none"/>
          <w:lang w:val="en-US" w:eastAsia="zh-CN" w:bidi="ar"/>
        </w:rPr>
      </w:pPr>
      <w:r>
        <w:rPr>
          <w:rFonts w:hint="eastAsia" w:ascii="宋体" w:hAnsi="宋体" w:eastAsia="宋体" w:cs="宋体"/>
          <w:b w:val="0"/>
          <w:bCs w:val="0"/>
          <w:i w:val="0"/>
          <w:caps w:val="0"/>
          <w:color w:val="auto"/>
          <w:spacing w:val="0"/>
          <w:kern w:val="0"/>
          <w:sz w:val="24"/>
          <w:szCs w:val="24"/>
          <w:highlight w:val="none"/>
          <w:lang w:val="en-US" w:eastAsia="zh-CN" w:bidi="ar"/>
        </w:rPr>
        <w:t>工信部联运行〔2017〕236号</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right="0" w:rightChars="0" w:firstLine="0"/>
        <w:jc w:val="center"/>
        <w:textAlignment w:val="auto"/>
        <w:outlineLvl w:val="9"/>
        <w:rPr>
          <w:rFonts w:hint="eastAsia" w:ascii="宋体" w:hAnsi="宋体" w:eastAsia="宋体" w:cs="宋体"/>
          <w:b w:val="0"/>
          <w:bCs w:val="0"/>
          <w:i w:val="0"/>
          <w:caps w:val="0"/>
          <w:color w:val="auto"/>
          <w:spacing w:val="0"/>
          <w:kern w:val="0"/>
          <w:sz w:val="24"/>
          <w:szCs w:val="24"/>
          <w:highlight w:val="none"/>
          <w:lang w:val="en-US" w:eastAsia="zh-CN" w:bidi="ar"/>
        </w:rPr>
      </w:pP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各省、自治区、直辖市人民政府，国务院各部委、各直属机构：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按照经国务院批准的《工业和信息化部财政部关于开展涉企保证金清理规范工作的通知》（工信部联运行〔2016〕355号）要求，各地区、各部门开展了涉企保证金自查清理工作，提出了清理规范意见和拟保留的涉企保证金目录清单，并报工业和信息化部、财政部进行审核。目前，国务院部门涉企保证金目录清单已审核完毕，现予以公布。有关事项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一、建立涉企保证金目录清单制度</w:t>
      </w:r>
      <w:r>
        <w:rPr>
          <w:rFonts w:hint="eastAsia" w:ascii="宋体" w:hAnsi="宋体" w:eastAsia="宋体" w:cs="宋体"/>
          <w:b/>
          <w:i w:val="0"/>
          <w:caps w:val="0"/>
          <w:color w:val="auto"/>
          <w:spacing w:val="0"/>
          <w:sz w:val="24"/>
          <w:szCs w:val="24"/>
          <w:highlight w:val="none"/>
        </w:rPr>
        <w:br w:type="textWrapping"/>
      </w:r>
      <w:r>
        <w:rPr>
          <w:rFonts w:hint="eastAsia" w:ascii="宋体" w:hAnsi="宋体" w:eastAsia="宋体" w:cs="宋体"/>
          <w:b w:val="0"/>
          <w:i w:val="0"/>
          <w:caps w:val="0"/>
          <w:color w:val="auto"/>
          <w:spacing w:val="0"/>
          <w:sz w:val="24"/>
          <w:szCs w:val="24"/>
          <w:highlight w:val="none"/>
        </w:rPr>
        <w:t>　　各地区要参照国务院部门涉企保证金目录清单，对本地区涉企保证金进一步清理规范，取消没有法律、行政法规依据或未经国务院批准的涉企保证金项目，建立涉企保证金目录清单，并于2017年12月底前向社会公布。涉企保证金目录清单及具体实施情况纳入各地区、各部门政务公开范畴，通过政府网站和公共媒体实时对外公开，接受社会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二、严格执行涉企保证金目录清单制度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自本通知印发之日起，行政机关新设立涉企保证金项目，必须依据有关法律、行政法规的规定或经国务院批准。各地区、各部门必须严格执行目录清单，目录清单之外的涉企保证金，一律不得执行（完全市场化行为产生的保证金以及金融机构缴纳的保险、保障基金除外）。加快对已取消保证金资金，以及逾期未返或超额收取的保证金资金的清退返还，2017年12月底前要全部完成。发挥各级减轻企业负担举报机制和审计部门作用，加强监督检查，制止各种借保证金名义占用企业资金的行为；对违规向企业收取保证金、不按时返还、挪用保证金等行为要严肃查处，加大曝光和问责力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三、建立健全涉企保证金配套管理制度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设有涉企保证金的地区和部门要抓紧制定完善管理制度，建立资金台账，规范管理程序，加强监督检查，严肃财经纪律，将保证金收取及返还情况向社会公开。创新管理方式，加强事中事后监管，加快推动企业诚信体系建设，对诚信记录好的企业免收保证金或降低缴纳比例（额度），适度扩大银行保函应用范围，减少企业资金占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四、加强对涉企保证金目录清单的宣传解读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依托全国减轻企业负担政策宣传周、减轻企业负担综合服务平台等多种渠道加强宣传，通过清单查询、政策解读、现场咨询等形式帮助企业了解涉企保证金目录清单和有关政策。将涉企保证金清理规范纳入全国企业负担调查内容，及时了解工作不足，回应企业诉求。加强舆论监督，并通过第三方评估完善和改进工作，推动涉企保证金清单制度落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rPr>
        <w:t>各地区、各有关部门要充分认识进一步做好涉企保证金清理规范工作的重要意义，加强组织领导，抓好工作落实，并于2018年1月底前将涉企保证金清理规范（含地区涉企保证金目录清单）及资金台账情况报国务院减轻企业负担部际联席会议办公室（设在工业和信息化部），并抄送财政部。工业和信息化部、财政部将在2017年全国减轻企业负担专项督查中对各地区涉企保证金目录清单和清理规范情况进行重点检查，推动各项工作落到实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宋体" w:hAnsi="宋体" w:eastAsia="宋体" w:cs="宋体"/>
          <w:i w:val="0"/>
          <w:color w:val="auto"/>
          <w:sz w:val="24"/>
          <w:szCs w:val="24"/>
          <w:highlight w:val="none"/>
        </w:rPr>
      </w:pPr>
      <w:r>
        <w:rPr>
          <w:rFonts w:hint="eastAsia" w:ascii="宋体" w:hAnsi="宋体" w:eastAsia="宋体" w:cs="宋体"/>
          <w:b w:val="0"/>
          <w:i w:val="0"/>
          <w:caps w:val="0"/>
          <w:color w:val="auto"/>
          <w:spacing w:val="0"/>
          <w:sz w:val="24"/>
          <w:szCs w:val="24"/>
          <w:highlight w:val="none"/>
          <w:lang w:val="en-US" w:eastAsia="zh-CN"/>
        </w:rPr>
        <w:t xml:space="preserve">   </w:t>
      </w:r>
      <w:r>
        <w:rPr>
          <w:rFonts w:hint="eastAsia" w:ascii="宋体" w:hAnsi="宋体" w:eastAsia="宋体" w:cs="宋体"/>
          <w:b w:val="0"/>
          <w:i w:val="0"/>
          <w:caps w:val="0"/>
          <w:color w:val="auto"/>
          <w:spacing w:val="0"/>
          <w:sz w:val="24"/>
          <w:szCs w:val="24"/>
          <w:highlight w:val="none"/>
        </w:rPr>
        <w:t>附件：</w:t>
      </w:r>
      <w:r>
        <w:rPr>
          <w:rFonts w:hint="eastAsia" w:ascii="宋体" w:hAnsi="宋体" w:eastAsia="宋体" w:cs="宋体"/>
          <w:b w:val="0"/>
          <w:i w:val="0"/>
          <w:caps w:val="0"/>
          <w:color w:val="auto"/>
          <w:spacing w:val="0"/>
          <w:sz w:val="24"/>
          <w:szCs w:val="24"/>
          <w:highlight w:val="none"/>
        </w:rPr>
        <w:br w:type="textWrapping"/>
      </w:r>
      <w:r>
        <w:rPr>
          <w:rFonts w:hint="eastAsia" w:ascii="宋体" w:hAnsi="宋体" w:eastAsia="宋体" w:cs="宋体"/>
          <w:b w:val="0"/>
          <w:i w:val="0"/>
          <w:caps w:val="0"/>
          <w:color w:val="auto"/>
          <w:spacing w:val="0"/>
          <w:sz w:val="24"/>
          <w:szCs w:val="24"/>
          <w:highlight w:val="none"/>
        </w:rPr>
        <w:t> </w:t>
      </w:r>
      <w:r>
        <w:rPr>
          <w:rFonts w:hint="eastAsia" w:ascii="宋体" w:hAnsi="宋体" w:eastAsia="宋体" w:cs="宋体"/>
          <w:b w:val="0"/>
          <w:i w:val="0"/>
          <w:caps w:val="0"/>
          <w:color w:val="auto"/>
          <w:spacing w:val="0"/>
          <w:sz w:val="24"/>
          <w:szCs w:val="24"/>
          <w:highlight w:val="none"/>
          <w:lang w:val="en-US" w:eastAsia="zh-CN"/>
        </w:rPr>
        <w:t xml:space="preserve"> </w:t>
      </w:r>
      <w:r>
        <w:rPr>
          <w:rFonts w:hint="eastAsia" w:ascii="宋体" w:hAnsi="宋体" w:eastAsia="宋体" w:cs="宋体"/>
          <w:b w:val="0"/>
          <w:i w:val="0"/>
          <w:caps w:val="0"/>
          <w:color w:val="auto"/>
          <w:spacing w:val="0"/>
          <w:sz w:val="24"/>
          <w:szCs w:val="24"/>
          <w:highlight w:val="none"/>
          <w:u w:val="none"/>
        </w:rPr>
        <w:fldChar w:fldCharType="begin"/>
      </w:r>
      <w:r>
        <w:rPr>
          <w:rFonts w:hint="eastAsia" w:ascii="宋体" w:hAnsi="宋体" w:eastAsia="宋体" w:cs="宋体"/>
          <w:b w:val="0"/>
          <w:i w:val="0"/>
          <w:caps w:val="0"/>
          <w:color w:val="auto"/>
          <w:spacing w:val="0"/>
          <w:sz w:val="24"/>
          <w:szCs w:val="24"/>
          <w:highlight w:val="none"/>
          <w:u w:val="none"/>
        </w:rPr>
        <w:instrText xml:space="preserve"> HYPERLINK "http://www.miit.gov.cn/n1146285/n1146352/n3054355/n3057511/n3057513/c5817880/part/5817895.et" </w:instrText>
      </w:r>
      <w:r>
        <w:rPr>
          <w:rFonts w:hint="eastAsia" w:ascii="宋体" w:hAnsi="宋体" w:eastAsia="宋体" w:cs="宋体"/>
          <w:b w:val="0"/>
          <w:i w:val="0"/>
          <w:caps w:val="0"/>
          <w:color w:val="auto"/>
          <w:spacing w:val="0"/>
          <w:sz w:val="24"/>
          <w:szCs w:val="24"/>
          <w:highlight w:val="none"/>
          <w:u w:val="none"/>
        </w:rPr>
        <w:fldChar w:fldCharType="separate"/>
      </w:r>
      <w:r>
        <w:rPr>
          <w:rStyle w:val="7"/>
          <w:rFonts w:hint="eastAsia" w:ascii="宋体" w:hAnsi="宋体" w:eastAsia="宋体" w:cs="宋体"/>
          <w:b w:val="0"/>
          <w:i w:val="0"/>
          <w:caps w:val="0"/>
          <w:color w:val="auto"/>
          <w:spacing w:val="0"/>
          <w:sz w:val="24"/>
          <w:szCs w:val="24"/>
          <w:highlight w:val="none"/>
          <w:u w:val="none"/>
        </w:rPr>
        <w:t>附件1.国务院部门涉企保证金目录清单</w:t>
      </w:r>
      <w:r>
        <w:rPr>
          <w:rFonts w:hint="eastAsia" w:ascii="宋体" w:hAnsi="宋体" w:eastAsia="宋体" w:cs="宋体"/>
          <w:b w:val="0"/>
          <w:i w:val="0"/>
          <w:caps w:val="0"/>
          <w:color w:val="auto"/>
          <w:spacing w:val="0"/>
          <w:sz w:val="24"/>
          <w:szCs w:val="24"/>
          <w:highlight w:val="none"/>
          <w:u w:val="none"/>
        </w:rPr>
        <w:fldChar w:fldCharType="end"/>
      </w:r>
      <w:r>
        <w:rPr>
          <w:rFonts w:hint="eastAsia" w:ascii="宋体" w:hAnsi="宋体" w:eastAsia="宋体" w:cs="宋体"/>
          <w:b w:val="0"/>
          <w:i w:val="0"/>
          <w:caps w:val="0"/>
          <w:color w:val="auto"/>
          <w:spacing w:val="0"/>
          <w:sz w:val="24"/>
          <w:szCs w:val="24"/>
          <w:highlight w:val="none"/>
        </w:rPr>
        <w:br w:type="textWrapping"/>
      </w:r>
      <w:r>
        <w:rPr>
          <w:rFonts w:hint="eastAsia" w:ascii="宋体" w:hAnsi="宋体" w:eastAsia="宋体" w:cs="宋体"/>
          <w:b w:val="0"/>
          <w:i w:val="0"/>
          <w:caps w:val="0"/>
          <w:color w:val="auto"/>
          <w:spacing w:val="0"/>
          <w:sz w:val="24"/>
          <w:szCs w:val="24"/>
          <w:highlight w:val="none"/>
        </w:rPr>
        <w:t> </w:t>
      </w:r>
      <w:r>
        <w:rPr>
          <w:rFonts w:hint="eastAsia" w:ascii="宋体" w:hAnsi="宋体" w:eastAsia="宋体" w:cs="宋体"/>
          <w:b w:val="0"/>
          <w:i w:val="0"/>
          <w:caps w:val="0"/>
          <w:color w:val="auto"/>
          <w:spacing w:val="0"/>
          <w:sz w:val="24"/>
          <w:szCs w:val="24"/>
          <w:highlight w:val="none"/>
          <w:lang w:val="en-US" w:eastAsia="zh-CN"/>
        </w:rPr>
        <w:t xml:space="preserve"> </w:t>
      </w:r>
      <w:r>
        <w:rPr>
          <w:rFonts w:hint="eastAsia" w:ascii="宋体" w:hAnsi="宋体" w:eastAsia="宋体" w:cs="宋体"/>
          <w:b w:val="0"/>
          <w:i w:val="0"/>
          <w:caps w:val="0"/>
          <w:color w:val="auto"/>
          <w:spacing w:val="0"/>
          <w:sz w:val="24"/>
          <w:szCs w:val="24"/>
          <w:highlight w:val="none"/>
          <w:u w:val="none"/>
        </w:rPr>
        <w:fldChar w:fldCharType="begin"/>
      </w:r>
      <w:r>
        <w:rPr>
          <w:rFonts w:hint="eastAsia" w:ascii="宋体" w:hAnsi="宋体" w:eastAsia="宋体" w:cs="宋体"/>
          <w:b w:val="0"/>
          <w:i w:val="0"/>
          <w:caps w:val="0"/>
          <w:color w:val="auto"/>
          <w:spacing w:val="0"/>
          <w:sz w:val="24"/>
          <w:szCs w:val="24"/>
          <w:highlight w:val="none"/>
          <w:u w:val="none"/>
        </w:rPr>
        <w:instrText xml:space="preserve"> HYPERLINK "http://www.miit.gov.cn/n1146285/n1146352/n3054355/n3057511/n3057513/c5817880/part/5817896.doc" </w:instrText>
      </w:r>
      <w:r>
        <w:rPr>
          <w:rFonts w:hint="eastAsia" w:ascii="宋体" w:hAnsi="宋体" w:eastAsia="宋体" w:cs="宋体"/>
          <w:b w:val="0"/>
          <w:i w:val="0"/>
          <w:caps w:val="0"/>
          <w:color w:val="auto"/>
          <w:spacing w:val="0"/>
          <w:sz w:val="24"/>
          <w:szCs w:val="24"/>
          <w:highlight w:val="none"/>
          <w:u w:val="none"/>
        </w:rPr>
        <w:fldChar w:fldCharType="separate"/>
      </w:r>
      <w:r>
        <w:rPr>
          <w:rStyle w:val="7"/>
          <w:rFonts w:hint="eastAsia" w:ascii="宋体" w:hAnsi="宋体" w:eastAsia="宋体" w:cs="宋体"/>
          <w:b w:val="0"/>
          <w:i w:val="0"/>
          <w:caps w:val="0"/>
          <w:color w:val="auto"/>
          <w:spacing w:val="0"/>
          <w:sz w:val="24"/>
          <w:szCs w:val="24"/>
          <w:highlight w:val="none"/>
          <w:u w:val="none"/>
        </w:rPr>
        <w:t>附件2.涉企保证金台账表</w:t>
      </w:r>
      <w:r>
        <w:rPr>
          <w:rFonts w:hint="eastAsia" w:ascii="宋体" w:hAnsi="宋体" w:eastAsia="宋体" w:cs="宋体"/>
          <w:b w:val="0"/>
          <w:i w:val="0"/>
          <w:caps w:val="0"/>
          <w:color w:val="auto"/>
          <w:spacing w:val="0"/>
          <w:sz w:val="24"/>
          <w:szCs w:val="24"/>
          <w:highlight w:val="none"/>
          <w:u w:val="none"/>
        </w:rPr>
        <w:fldChar w:fldCharType="end"/>
      </w:r>
      <w:r>
        <w:rPr>
          <w:rFonts w:hint="eastAsia" w:ascii="宋体" w:hAnsi="宋体" w:eastAsia="宋体" w:cs="宋体"/>
          <w:b w:val="0"/>
          <w:i w:val="0"/>
          <w:caps w:val="0"/>
          <w:color w:val="auto"/>
          <w:spacing w:val="0"/>
          <w:sz w:val="24"/>
          <w:szCs w:val="24"/>
          <w:highlight w:val="none"/>
        </w:rPr>
        <w:t>    </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sz w:val="24"/>
          <w:szCs w:val="24"/>
          <w:highlight w:val="none"/>
        </w:rPr>
      </w:pPr>
    </w:p>
    <w:sectPr>
      <w:pgSz w:w="11906" w:h="16838"/>
      <w:pgMar w:top="1440" w:right="1800" w:bottom="1440" w:left="1800" w:header="851" w:footer="992" w:gutter="0"/>
      <w:pgBorders w:offsetFrom="page">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95434"/>
    <w:rsid w:val="10F0415E"/>
    <w:rsid w:val="11F3377C"/>
    <w:rsid w:val="18F56F2D"/>
    <w:rsid w:val="1B44507D"/>
    <w:rsid w:val="1ED8663C"/>
    <w:rsid w:val="2032612A"/>
    <w:rsid w:val="225A79DC"/>
    <w:rsid w:val="2ADF593F"/>
    <w:rsid w:val="2CC7115A"/>
    <w:rsid w:val="2DB137C0"/>
    <w:rsid w:val="2EAC7563"/>
    <w:rsid w:val="2F0A66A0"/>
    <w:rsid w:val="31384426"/>
    <w:rsid w:val="341945F2"/>
    <w:rsid w:val="36F81E3D"/>
    <w:rsid w:val="377B1416"/>
    <w:rsid w:val="39AE7B7B"/>
    <w:rsid w:val="3A3A6A51"/>
    <w:rsid w:val="3BC05E38"/>
    <w:rsid w:val="3C1021FE"/>
    <w:rsid w:val="41464A3B"/>
    <w:rsid w:val="44BC04FF"/>
    <w:rsid w:val="47534080"/>
    <w:rsid w:val="4C7848EE"/>
    <w:rsid w:val="50711E33"/>
    <w:rsid w:val="510915AA"/>
    <w:rsid w:val="55586534"/>
    <w:rsid w:val="557F4CE4"/>
    <w:rsid w:val="574753C0"/>
    <w:rsid w:val="577B34E0"/>
    <w:rsid w:val="5D0E792D"/>
    <w:rsid w:val="602879B6"/>
    <w:rsid w:val="669478EE"/>
    <w:rsid w:val="69F13539"/>
    <w:rsid w:val="6C26788E"/>
    <w:rsid w:val="760617FA"/>
    <w:rsid w:val="771756CA"/>
    <w:rsid w:val="787E725D"/>
    <w:rsid w:val="7B666B1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pPr>
    <w:rPr>
      <w:rFonts w:ascii="仿宋" w:hAnsi="仿宋" w:eastAsia="仿宋" w:cs="仿宋"/>
      <w:color w:val="000000"/>
      <w:kern w:val="0"/>
      <w:sz w:val="25"/>
      <w:szCs w:val="25"/>
      <w:u w:val="none"/>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dc:creator>
  <cp:lastModifiedBy>南念念</cp:lastModifiedBy>
  <cp:lastPrinted>2017-11-06T07:09:00Z</cp:lastPrinted>
  <dcterms:modified xsi:type="dcterms:W3CDTF">2018-01-02T05:39:18Z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