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财政部</w:t>
      </w:r>
      <w:r>
        <w:rPr>
          <w:rFonts w:hint="eastAsia" w:ascii="宋体" w:hAnsi="宋体" w:cs="宋体"/>
          <w:b/>
          <w:bCs/>
          <w:color w:val="000000" w:themeColor="text1"/>
          <w:sz w:val="32"/>
          <w:szCs w:val="32"/>
          <w:lang w:eastAsia="zh-CN"/>
          <w14:textFill>
            <w14:solidFill>
              <w14:schemeClr w14:val="tx1"/>
            </w14:solidFill>
          </w14:textFill>
        </w:rPr>
        <w:t>、</w:t>
      </w:r>
      <w:r>
        <w:rPr>
          <w:rFonts w:hint="eastAsia" w:ascii="宋体" w:hAnsi="宋体" w:eastAsia="宋体" w:cs="宋体"/>
          <w:b/>
          <w:bCs/>
          <w:color w:val="000000" w:themeColor="text1"/>
          <w:sz w:val="32"/>
          <w:szCs w:val="32"/>
          <w14:textFill>
            <w14:solidFill>
              <w14:schemeClr w14:val="tx1"/>
            </w14:solidFill>
          </w14:textFill>
        </w:rPr>
        <w:t>生态环境部</w:t>
      </w:r>
      <w:r>
        <w:rPr>
          <w:rFonts w:hint="eastAsia" w:ascii="宋体" w:hAnsi="宋体" w:cs="宋体"/>
          <w:b/>
          <w:bCs/>
          <w:color w:val="000000" w:themeColor="text1"/>
          <w:sz w:val="32"/>
          <w:szCs w:val="32"/>
          <w:lang w:eastAsia="zh-CN"/>
          <w14:textFill>
            <w14:solidFill>
              <w14:schemeClr w14:val="tx1"/>
            </w14:solidFill>
          </w14:textFill>
        </w:rPr>
        <w:t>、</w:t>
      </w:r>
      <w:r>
        <w:rPr>
          <w:rFonts w:hint="eastAsia" w:ascii="宋体" w:hAnsi="宋体" w:eastAsia="宋体" w:cs="宋体"/>
          <w:b/>
          <w:bCs/>
          <w:color w:val="000000" w:themeColor="text1"/>
          <w:sz w:val="32"/>
          <w:szCs w:val="32"/>
          <w14:textFill>
            <w14:solidFill>
              <w14:schemeClr w14:val="tx1"/>
            </w14:solidFill>
          </w14:textFill>
        </w:rPr>
        <w:t>工业和信息化部关于印发《绿色数据中心政府采购需求标准（试行）》的通知</w:t>
      </w:r>
    </w:p>
    <w:p>
      <w:pPr>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财库〔2023〕7号</w:t>
      </w:r>
    </w:p>
    <w:p>
      <w:p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党中央有关部门，国务院各部委、各直属机构，全国人大常委会办公厅，全国政协办公厅，最高人民法院，最高人民检察院，各民主党派中央，有关人民团体，各省、自治区、直辖市、计划单列市财政厅（局）、生态环境厅（局）、工业和信息化主管部门，新疆生产建设兵团财政局、生态环境局、工业和信息化局：</w:t>
      </w:r>
    </w:p>
    <w:p>
      <w:p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数字产业绿色低碳发展是落实党中央、国务院碳达峰、碳中和重大战略决策的重要内容。为加快数据中心绿色转型，财政部、生态环境部、工业和信息化部制定了《绿色数据中心政府采购需求标准（试行）》（以下简称《需求标准》），现就有关事项通知如下：</w:t>
      </w:r>
    </w:p>
    <w:p>
      <w:p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一、采购人采购数据中心相关设备、运维服务，应当有利于节约能源、环境保护和资源循环利用，按照《需求标准》实施相关采购活动。</w:t>
      </w:r>
    </w:p>
    <w:p>
      <w:p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二、采购人应当加强采购需求管理，根据《需求标准》提出的指标编制数据中心相关设备、运维服务政府采购项目的采购文件，并在合同中明确对相关指标的验收方式和违约责任。</w:t>
      </w:r>
    </w:p>
    <w:p>
      <w:p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三、采购人在项目的投标、响应环节，原则上不对数据中心相关设备、服务进行检测、认证，也不要求供应商提供检测报告、认证报告，供应商出具符合相关要求的承诺函可视为符合规定。</w:t>
      </w:r>
    </w:p>
    <w:p>
      <w:pPr>
        <w:spacing w:line="360" w:lineRule="auto"/>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四、采购人应当在履约验收中对供应商提供的产品或服务进行抽查检测，必要时可委托取得相关资质的第三方机构对其进行检测、认证。因检测、认证涉及生产过程或检测时间长等原因，不能在验收过程中开展检测、认证的，可要求供应商在验收阶段提供相关检测报告、认证报告。</w:t>
      </w:r>
    </w:p>
    <w:p>
      <w:p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五、对于供应商未按合同约定提供设备或服务的，采购人应当依法追究其违约责任。对于供应商提供虚假材料谋取中标、成交的，依法予以处理。</w:t>
      </w:r>
    </w:p>
    <w:p>
      <w:p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六、本通知自2023年6月1日起施行。</w:t>
      </w:r>
    </w:p>
    <w:p>
      <w:pPr>
        <w:spacing w:line="360" w:lineRule="auto"/>
        <w:rPr>
          <w:rFonts w:hint="eastAsia" w:ascii="仿宋" w:hAnsi="仿宋" w:eastAsia="仿宋" w:cs="仿宋"/>
          <w:color w:val="000000" w:themeColor="text1"/>
          <w:sz w:val="32"/>
          <w:szCs w:val="32"/>
          <w14:textFill>
            <w14:solidFill>
              <w14:schemeClr w14:val="tx1"/>
            </w14:solidFill>
          </w14:textFill>
        </w:rPr>
      </w:pPr>
    </w:p>
    <w:p>
      <w:p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附件：绿色数据中心政府采购需求标准（试行） </w:t>
      </w:r>
    </w:p>
    <w:p>
      <w:pPr>
        <w:pStyle w:val="2"/>
        <w:rPr>
          <w:rFonts w:hint="eastAsia"/>
        </w:rPr>
      </w:pPr>
    </w:p>
    <w:p>
      <w:pPr>
        <w:spacing w:line="360" w:lineRule="auto"/>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财政部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生态环境部</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 工业和信息化部 </w:t>
      </w:r>
    </w:p>
    <w:p>
      <w:pPr>
        <w:spacing w:line="360" w:lineRule="auto"/>
        <w:rPr>
          <w:rFonts w:hint="eastAsia" w:ascii="仿宋" w:hAnsi="仿宋" w:eastAsia="仿宋" w:cs="仿宋"/>
          <w:color w:val="000000" w:themeColor="text1"/>
          <w:sz w:val="32"/>
          <w:szCs w:val="32"/>
          <w14:textFill>
            <w14:solidFill>
              <w14:schemeClr w14:val="tx1"/>
            </w14:solidFill>
          </w14:textFill>
        </w:rPr>
      </w:pPr>
    </w:p>
    <w:p>
      <w:p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2023年3月20日</w:t>
      </w: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br w:type="page"/>
      </w:r>
    </w:p>
    <w:p>
      <w:pPr>
        <w:spacing w:line="360" w:lineRule="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附件：</w:t>
      </w:r>
    </w:p>
    <w:p>
      <w:pPr>
        <w:spacing w:line="360" w:lineRule="auto"/>
        <w:rPr>
          <w:rFonts w:hint="eastAsia" w:ascii="仿宋" w:hAnsi="仿宋" w:eastAsia="仿宋" w:cs="仿宋"/>
          <w:b/>
          <w:bCs/>
          <w:color w:val="000000" w:themeColor="text1"/>
          <w:sz w:val="32"/>
          <w:szCs w:val="32"/>
          <w14:textFill>
            <w14:solidFill>
              <w14:schemeClr w14:val="tx1"/>
            </w14:solidFill>
          </w14:textFill>
        </w:rPr>
      </w:pPr>
    </w:p>
    <w:p>
      <w:pPr>
        <w:tabs>
          <w:tab w:val="left" w:pos="1418"/>
        </w:tabs>
        <w:spacing w:line="360" w:lineRule="auto"/>
        <w:jc w:val="center"/>
        <w:rPr>
          <w:rFonts w:hint="eastAsia" w:ascii="仿宋" w:hAnsi="仿宋" w:eastAsia="仿宋" w:cs="仿宋"/>
          <w:b/>
          <w:bCs/>
          <w:color w:val="000000" w:themeColor="text1"/>
          <w:sz w:val="32"/>
          <w:szCs w:val="32"/>
          <w:lang w:eastAsia="zh-CN"/>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绿色数据中心政府采购需求标准</w:t>
      </w:r>
      <w:r>
        <w:rPr>
          <w:rFonts w:hint="eastAsia" w:ascii="仿宋" w:hAnsi="仿宋" w:eastAsia="仿宋" w:cs="仿宋"/>
          <w:b/>
          <w:bCs/>
          <w:color w:val="000000" w:themeColor="text1"/>
          <w:sz w:val="32"/>
          <w:szCs w:val="32"/>
          <w:lang w:eastAsia="zh-CN"/>
          <w14:textFill>
            <w14:solidFill>
              <w14:schemeClr w14:val="tx1"/>
            </w14:solidFill>
          </w14:textFill>
        </w:rPr>
        <w:t>（</w:t>
      </w:r>
      <w:r>
        <w:rPr>
          <w:rFonts w:hint="eastAsia" w:ascii="仿宋" w:hAnsi="仿宋" w:eastAsia="仿宋" w:cs="仿宋"/>
          <w:b/>
          <w:bCs/>
          <w:color w:val="000000" w:themeColor="text1"/>
          <w:sz w:val="32"/>
          <w:szCs w:val="32"/>
          <w:lang w:val="en-US" w:eastAsia="zh-CN"/>
          <w14:textFill>
            <w14:solidFill>
              <w14:schemeClr w14:val="tx1"/>
            </w14:solidFill>
          </w14:textFill>
        </w:rPr>
        <w:t>试行</w:t>
      </w:r>
      <w:r>
        <w:rPr>
          <w:rFonts w:hint="eastAsia" w:ascii="仿宋" w:hAnsi="仿宋" w:eastAsia="仿宋" w:cs="仿宋"/>
          <w:b/>
          <w:bCs/>
          <w:color w:val="000000" w:themeColor="text1"/>
          <w:sz w:val="32"/>
          <w:szCs w:val="32"/>
          <w:lang w:eastAsia="zh-CN"/>
          <w14:textFill>
            <w14:solidFill>
              <w14:schemeClr w14:val="tx1"/>
            </w14:solidFill>
          </w14:textFill>
        </w:rPr>
        <w:t>）</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1   范围 </w:t>
      </w:r>
    </w:p>
    <w:p>
      <w:pPr>
        <w:pStyle w:val="13"/>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本标准适用于各级国家机关、事业单位、团体组织使用财政性资金采购数据中心</w:t>
      </w:r>
      <w:r>
        <w:rPr>
          <w:rFonts w:hint="eastAsia" w:ascii="仿宋" w:hAnsi="仿宋" w:eastAsia="仿宋" w:cs="仿宋"/>
          <w:color w:val="000000" w:themeColor="text1"/>
          <w:sz w:val="32"/>
          <w:szCs w:val="32"/>
          <w:lang w:eastAsia="zh-CN"/>
          <w14:textFill>
            <w14:solidFill>
              <w14:schemeClr w14:val="tx1"/>
            </w14:solidFill>
          </w14:textFill>
        </w:rPr>
        <w:t>相关设备、运维服务等</w:t>
      </w:r>
      <w:r>
        <w:rPr>
          <w:rFonts w:hint="eastAsia" w:ascii="仿宋" w:hAnsi="仿宋" w:eastAsia="仿宋" w:cs="仿宋"/>
          <w:color w:val="000000" w:themeColor="text1"/>
          <w:sz w:val="32"/>
          <w:szCs w:val="32"/>
          <w14:textFill>
            <w14:solidFill>
              <w14:schemeClr w14:val="tx1"/>
            </w14:solidFill>
          </w14:textFill>
        </w:rPr>
        <w:t>。</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2   规范性引用文件 </w:t>
      </w:r>
    </w:p>
    <w:p>
      <w:pPr>
        <w:pStyle w:val="13"/>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下列文件中的内容通过文中的规范性引用而构成本</w:t>
      </w:r>
      <w:r>
        <w:rPr>
          <w:rFonts w:hint="eastAsia" w:ascii="仿宋" w:hAnsi="仿宋" w:eastAsia="仿宋" w:cs="仿宋"/>
          <w:color w:val="000000" w:themeColor="text1"/>
          <w:sz w:val="32"/>
          <w:szCs w:val="32"/>
          <w:lang w:eastAsia="zh-CN"/>
          <w14:textFill>
            <w14:solidFill>
              <w14:schemeClr w14:val="tx1"/>
            </w14:solidFill>
          </w14:textFill>
        </w:rPr>
        <w:t>标准</w:t>
      </w:r>
      <w:r>
        <w:rPr>
          <w:rFonts w:hint="eastAsia" w:ascii="仿宋" w:hAnsi="仿宋" w:eastAsia="仿宋" w:cs="仿宋"/>
          <w:color w:val="000000" w:themeColor="text1"/>
          <w:sz w:val="32"/>
          <w:szCs w:val="32"/>
          <w14:textFill>
            <w14:solidFill>
              <w14:schemeClr w14:val="tx1"/>
            </w14:solidFill>
          </w14:textFill>
        </w:rPr>
        <w:t>必不可少的条款。其中，注日期的引用文件，仅该日期对应的版本适用于本</w:t>
      </w:r>
      <w:r>
        <w:rPr>
          <w:rFonts w:hint="eastAsia" w:ascii="仿宋" w:hAnsi="仿宋" w:eastAsia="仿宋" w:cs="仿宋"/>
          <w:color w:val="000000" w:themeColor="text1"/>
          <w:sz w:val="32"/>
          <w:szCs w:val="32"/>
          <w:lang w:eastAsia="zh-CN"/>
          <w14:textFill>
            <w14:solidFill>
              <w14:schemeClr w14:val="tx1"/>
            </w14:solidFill>
          </w14:textFill>
        </w:rPr>
        <w:t>标准</w:t>
      </w:r>
      <w:r>
        <w:rPr>
          <w:rFonts w:hint="eastAsia" w:ascii="仿宋" w:hAnsi="仿宋" w:eastAsia="仿宋" w:cs="仿宋"/>
          <w:color w:val="000000" w:themeColor="text1"/>
          <w:sz w:val="32"/>
          <w:szCs w:val="32"/>
          <w14:textFill>
            <w14:solidFill>
              <w14:schemeClr w14:val="tx1"/>
            </w14:solidFill>
          </w14:textFill>
        </w:rPr>
        <w:t>；凡是不注日期的引用文件，其最新版本（包括所有的修改单）适用于本</w:t>
      </w:r>
      <w:r>
        <w:rPr>
          <w:rFonts w:hint="eastAsia" w:ascii="仿宋" w:hAnsi="仿宋" w:eastAsia="仿宋" w:cs="仿宋"/>
          <w:color w:val="000000" w:themeColor="text1"/>
          <w:sz w:val="32"/>
          <w:szCs w:val="32"/>
          <w:lang w:eastAsia="zh-CN"/>
          <w14:textFill>
            <w14:solidFill>
              <w14:schemeClr w14:val="tx1"/>
            </w14:solidFill>
          </w14:textFill>
        </w:rPr>
        <w:t>标准</w:t>
      </w:r>
      <w:r>
        <w:rPr>
          <w:rFonts w:hint="eastAsia" w:ascii="仿宋" w:hAnsi="仿宋" w:eastAsia="仿宋" w:cs="仿宋"/>
          <w:color w:val="000000" w:themeColor="text1"/>
          <w:sz w:val="32"/>
          <w:szCs w:val="32"/>
          <w14:textFill>
            <w14:solidFill>
              <w14:schemeClr w14:val="tx1"/>
            </w14:solidFill>
          </w14:textFill>
        </w:rPr>
        <w:t>。</w:t>
      </w:r>
    </w:p>
    <w:p>
      <w:pPr>
        <w:pStyle w:val="13"/>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p>
    <w:tbl>
      <w:tblPr>
        <w:tblStyle w:val="8"/>
        <w:tblW w:w="7875" w:type="dxa"/>
        <w:tblInd w:w="0" w:type="dxa"/>
        <w:tblLayout w:type="fixed"/>
        <w:tblCellMar>
          <w:top w:w="0" w:type="dxa"/>
          <w:left w:w="108" w:type="dxa"/>
          <w:bottom w:w="0" w:type="dxa"/>
          <w:right w:w="108" w:type="dxa"/>
        </w:tblCellMar>
      </w:tblPr>
      <w:tblGrid>
        <w:gridCol w:w="1701"/>
        <w:gridCol w:w="6174"/>
      </w:tblGrid>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17167</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用能单位能源计量器具配备和管理通则</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18613</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电动机能效限定值及能效等级</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19153</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容积式空气压缩机能效限定值及能效等级</w:t>
            </w:r>
          </w:p>
        </w:tc>
      </w:tr>
      <w:tr>
        <w:tblPrEx>
          <w:tblLayout w:type="fixed"/>
          <w:tblCellMar>
            <w:top w:w="0" w:type="dxa"/>
            <w:left w:w="108" w:type="dxa"/>
            <w:bottom w:w="0" w:type="dxa"/>
            <w:right w:w="108" w:type="dxa"/>
          </w:tblCellMar>
        </w:tblPrEx>
        <w:tc>
          <w:tcPr>
            <w:tcW w:w="1701" w:type="dxa"/>
            <w:vAlign w:val="top"/>
          </w:tcPr>
          <w:p>
            <w:pPr>
              <w:pStyle w:val="13"/>
              <w:spacing w:line="360" w:lineRule="auto"/>
              <w:rPr>
                <w:rFonts w:hint="eastAsia" w:ascii="仿宋" w:hAnsi="仿宋" w:eastAsia="仿宋" w:cs="仿宋"/>
                <w:color w:val="000000" w:themeColor="text1"/>
                <w:sz w:val="22"/>
                <w:szCs w:val="22"/>
                <w:lang w:val="en-US" w:eastAsia="zh-CN" w:bidi="ar-SA"/>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19576</w:t>
            </w:r>
          </w:p>
        </w:tc>
        <w:tc>
          <w:tcPr>
            <w:tcW w:w="6174" w:type="dxa"/>
            <w:vAlign w:val="top"/>
          </w:tcPr>
          <w:p>
            <w:pPr>
              <w:pStyle w:val="13"/>
              <w:spacing w:line="360" w:lineRule="auto"/>
              <w:rPr>
                <w:rFonts w:hint="eastAsia" w:ascii="仿宋" w:hAnsi="仿宋" w:eastAsia="仿宋" w:cs="仿宋"/>
                <w:color w:val="000000" w:themeColor="text1"/>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单元式空气调节机能效限定值及能效等级</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19577</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冷水机组能效限定值及能效等级</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19761</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通风机能效限定值及能效等级</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20052</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电力变压器能效限定值及能效等级</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20891-2014</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非道路移动机械用柴油机排气污染物排放限值及测量方法（中国第三、四阶段）</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20891-2014修改单</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非道路移动机械用柴油机排气污染物排放限值及测量方法（中国第三、四阶段）</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20943</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单路输出式交流－直流和交流－交流外部电源能效限定值及节能评价值</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21520</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计算机显示器能效限定值及能效等级</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26133-2010</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非道路移动机械用小型点燃式发动机排气污染物排放限值与测量方法（中国第一、二阶段）</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28380</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微型计算机能效限定值及能效等级</w:t>
            </w:r>
          </w:p>
        </w:tc>
      </w:tr>
      <w:tr>
        <w:tblPrEx>
          <w:tblLayout w:type="fixed"/>
          <w:tblCellMar>
            <w:top w:w="0" w:type="dxa"/>
            <w:left w:w="108" w:type="dxa"/>
            <w:bottom w:w="0" w:type="dxa"/>
            <w:right w:w="108" w:type="dxa"/>
          </w:tblCellMar>
        </w:tblPrEx>
        <w:trPr>
          <w:trHeight w:val="90" w:hRule="atLeast"/>
        </w:trPr>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29540</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溴化锂吸收式冷水机组能效限定值及能效等级</w:t>
            </w:r>
          </w:p>
        </w:tc>
      </w:tr>
      <w:tr>
        <w:tblPrEx>
          <w:tblLayout w:type="fixed"/>
          <w:tblCellMar>
            <w:top w:w="0" w:type="dxa"/>
            <w:left w:w="108" w:type="dxa"/>
            <w:bottom w:w="0" w:type="dxa"/>
            <w:right w:w="108" w:type="dxa"/>
          </w:tblCellMar>
        </w:tblPrEx>
        <w:trPr>
          <w:trHeight w:val="90" w:hRule="atLeast"/>
        </w:trPr>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32029</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小型潜水电泵能效限定值及能效等级</w:t>
            </w:r>
          </w:p>
        </w:tc>
      </w:tr>
      <w:tr>
        <w:tblPrEx>
          <w:tblLayout w:type="fixed"/>
          <w:tblCellMar>
            <w:top w:w="0" w:type="dxa"/>
            <w:left w:w="108" w:type="dxa"/>
            <w:bottom w:w="0" w:type="dxa"/>
            <w:right w:w="108" w:type="dxa"/>
          </w:tblCellMar>
        </w:tblPrEx>
        <w:trPr>
          <w:trHeight w:val="90" w:hRule="atLeast"/>
        </w:trPr>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32030</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井用潜水电泵能效限定值及节能评价值</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36886</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非道路移动柴油机械排气烟度限值及测量方法</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 40879</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数据中心能效限定值及能效等级</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GB/T 9813.1</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计算机通用规范 第1部分：台式微型计算机</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GB/T 9813.2</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计算机通用规范 第2部分：便携式微型计算机</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GB/T 14715</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信息技术设备用不间断电源通用规范</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GB/T 17651.2</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电缆或光缆在特定条件下燃烧的烟密度测定 第2部分：试验程序和要求</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GB/T 29784</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电子电气产品中多环芳烃的测定</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GB/T 32355.2</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电工电子产品可再生利用率评价值 第2部分：洗衣机、电视机和微型计算机</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GB/T 32910.1</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数据中心 资源利用 第 1 部分：术语</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GB/T 32910.2</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数据中心 资源利用 第 2 部分：关键性能指标设置要求</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HJ 2507</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环境标志产品技术要求 网络服务器</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YD/T 1816</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电信设备噪声限值要求和测量方法</w:t>
            </w:r>
          </w:p>
        </w:tc>
      </w:tr>
      <w:tr>
        <w:tblPrEx>
          <w:tblLayout w:type="fixed"/>
          <w:tblCellMar>
            <w:top w:w="0" w:type="dxa"/>
            <w:left w:w="108" w:type="dxa"/>
            <w:bottom w:w="0" w:type="dxa"/>
            <w:right w:w="108" w:type="dxa"/>
          </w:tblCellMar>
        </w:tblPrEx>
        <w:tc>
          <w:tcPr>
            <w:tcW w:w="1701" w:type="dxa"/>
          </w:tcPr>
          <w:p>
            <w:pPr>
              <w:pStyle w:val="13"/>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YD/T 3601</w:t>
            </w:r>
          </w:p>
        </w:tc>
        <w:tc>
          <w:tcPr>
            <w:tcW w:w="6174" w:type="dxa"/>
          </w:tcPr>
          <w:p>
            <w:pPr>
              <w:pStyle w:val="13"/>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电信互联网数据中心用冷水机组</w:t>
            </w:r>
          </w:p>
        </w:tc>
      </w:tr>
    </w:tbl>
    <w:p>
      <w:pPr>
        <w:pStyle w:val="13"/>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3   术语和定义 </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3.1 数据中心 data center</w:t>
      </w:r>
    </w:p>
    <w:p>
      <w:pPr>
        <w:pStyle w:val="13"/>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由计算机场地（机房），其他基础设施、信息系统软硬件、信息资源（数据）和人员以及相应的规章制度组成的实体。</w:t>
      </w:r>
    </w:p>
    <w:p>
      <w:pPr>
        <w:pStyle w:val="13"/>
        <w:spacing w:line="360" w:lineRule="auto"/>
        <w:ind w:firstLine="320" w:firstLineChars="1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【GB/T 32910.1-2017,定义2.1】</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3.2 数据中心电能比 ratio of electricity consumption of date centers</w:t>
      </w:r>
    </w:p>
    <w:p>
      <w:pPr>
        <w:pStyle w:val="13"/>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统计期内，数据中心在信息设备实际运行负载下，数据中心总耗电量与信息设备耗电量的比值。</w:t>
      </w:r>
    </w:p>
    <w:p>
      <w:pPr>
        <w:pStyle w:val="13"/>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注：表征数据中心电能利用效率（Power Usage Effectiveness,PUE）。</w:t>
      </w:r>
    </w:p>
    <w:p>
      <w:pPr>
        <w:pStyle w:val="13"/>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【GB 40879-2021,定义3.4】</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 xml:space="preserve"> 可再生能源 renewable energy</w:t>
      </w:r>
    </w:p>
    <w:p>
      <w:pPr>
        <w:pStyle w:val="13"/>
        <w:spacing w:line="360" w:lineRule="auto"/>
        <w:ind w:firstLine="640" w:firstLineChars="2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太阳能、水能、风能、生物质能、海洋能和地热能等</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可在自然过程中再生</w:t>
      </w:r>
      <w:r>
        <w:rPr>
          <w:rFonts w:hint="eastAsia" w:ascii="仿宋" w:hAnsi="仿宋" w:eastAsia="仿宋" w:cs="仿宋"/>
          <w:color w:val="000000" w:themeColor="text1"/>
          <w:sz w:val="32"/>
          <w:szCs w:val="32"/>
          <w:highlight w:val="none"/>
          <w:lang w:val="en-US" w:eastAsia="zh-CN"/>
          <w14:textFill>
            <w14:solidFill>
              <w14:schemeClr w14:val="tx1"/>
            </w14:solidFill>
          </w14:textFill>
        </w:rPr>
        <w:t>的能源</w:t>
      </w:r>
      <w:r>
        <w:rPr>
          <w:rFonts w:hint="eastAsia" w:ascii="仿宋" w:hAnsi="仿宋" w:eastAsia="仿宋" w:cs="仿宋"/>
          <w:color w:val="000000" w:themeColor="text1"/>
          <w:sz w:val="32"/>
          <w:szCs w:val="32"/>
          <w:highlight w:val="none"/>
          <w14:textFill>
            <w14:solidFill>
              <w14:schemeClr w14:val="tx1"/>
            </w14:solidFill>
          </w14:textFill>
        </w:rPr>
        <w:t>。</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
          <w14:textFill>
            <w14:solidFill>
              <w14:schemeClr w14:val="tx1"/>
            </w14:solidFill>
          </w14:textFill>
        </w:rPr>
        <w:t>4</w:t>
      </w:r>
      <w:r>
        <w:rPr>
          <w:rFonts w:hint="eastAsia" w:ascii="仿宋" w:hAnsi="仿宋" w:eastAsia="仿宋" w:cs="仿宋"/>
          <w:color w:val="000000" w:themeColor="text1"/>
          <w:sz w:val="32"/>
          <w:szCs w:val="32"/>
          <w14:textFill>
            <w14:solidFill>
              <w14:schemeClr w14:val="tx1"/>
            </w14:solidFill>
          </w14:textFill>
        </w:rPr>
        <w:t xml:space="preserve"> 消费后再生塑料 post-consumer recycled plastics</w:t>
      </w:r>
    </w:p>
    <w:p>
      <w:pPr>
        <w:spacing w:line="360" w:lineRule="auto"/>
        <w:ind w:firstLine="640" w:firstLineChars="2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利用终端消费品废弃的塑料加工而成的用作原用途或其他用途的塑料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不包括企业正常生产回用</w:t>
      </w:r>
      <w:r>
        <w:rPr>
          <w:rFonts w:hint="eastAsia" w:ascii="仿宋" w:hAnsi="仿宋" w:eastAsia="仿宋" w:cs="仿宋"/>
          <w:color w:val="000000" w:themeColor="text1"/>
          <w:sz w:val="32"/>
          <w:szCs w:val="32"/>
          <w:highlight w:val="none"/>
          <w:lang w:eastAsia="zh-CN"/>
          <w14:textFill>
            <w14:solidFill>
              <w14:schemeClr w14:val="tx1"/>
            </w14:solidFill>
          </w14:textFill>
        </w:rPr>
        <w:t>的</w:t>
      </w:r>
      <w:r>
        <w:rPr>
          <w:rFonts w:hint="eastAsia" w:ascii="仿宋" w:hAnsi="仿宋" w:eastAsia="仿宋" w:cs="仿宋"/>
          <w:color w:val="000000" w:themeColor="text1"/>
          <w:sz w:val="32"/>
          <w:szCs w:val="32"/>
          <w:highlight w:val="none"/>
          <w:lang w:val="en-US" w:eastAsia="zh-CN"/>
          <w14:textFill>
            <w14:solidFill>
              <w14:schemeClr w14:val="tx1"/>
            </w14:solidFill>
          </w14:textFill>
        </w:rPr>
        <w:t>塑料</w:t>
      </w:r>
      <w:r>
        <w:rPr>
          <w:rFonts w:hint="eastAsia" w:ascii="仿宋" w:hAnsi="仿宋" w:eastAsia="仿宋" w:cs="仿宋"/>
          <w:color w:val="000000" w:themeColor="text1"/>
          <w:sz w:val="32"/>
          <w:szCs w:val="32"/>
          <w:highlight w:val="none"/>
          <w14:textFill>
            <w14:solidFill>
              <w14:schemeClr w14:val="tx1"/>
            </w14:solidFill>
          </w14:textFill>
        </w:rPr>
        <w:t>边角料。</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bookmarkStart w:id="0" w:name="_Toc45540854"/>
      <w:r>
        <w:rPr>
          <w:rFonts w:hint="eastAsia" w:ascii="仿宋" w:hAnsi="仿宋" w:eastAsia="仿宋" w:cs="仿宋"/>
          <w:color w:val="000000" w:themeColor="text1"/>
          <w:sz w:val="32"/>
          <w:szCs w:val="32"/>
          <w14:textFill>
            <w14:solidFill>
              <w14:schemeClr w14:val="tx1"/>
            </w14:solidFill>
          </w14:textFill>
        </w:rPr>
        <w:t>4   基本要求</w:t>
      </w:r>
      <w:bookmarkEnd w:id="0"/>
    </w:p>
    <w:p>
      <w:pPr>
        <w:pStyle w:val="15"/>
        <w:widowControl w:val="0"/>
        <w:numPr>
          <w:ilvl w:val="0"/>
          <w:numId w:val="3"/>
        </w:numPr>
        <w:autoSpaceDE w:val="0"/>
        <w:autoSpaceDN w:val="0"/>
        <w:adjustRightInd w:val="0"/>
        <w:snapToGrid w:val="0"/>
        <w:spacing w:after="0" w:line="360" w:lineRule="auto"/>
        <w:ind w:right="0" w:firstLineChars="0"/>
        <w:rPr>
          <w:rFonts w:hint="eastAsia" w:ascii="仿宋" w:hAnsi="仿宋" w:eastAsia="仿宋" w:cs="仿宋"/>
          <w:vanish/>
          <w:color w:val="000000" w:themeColor="text1"/>
          <w:kern w:val="0"/>
          <w:sz w:val="32"/>
          <w:szCs w:val="32"/>
          <w14:textFill>
            <w14:solidFill>
              <w14:schemeClr w14:val="tx1"/>
            </w14:solidFill>
          </w14:textFill>
        </w:rPr>
      </w:pPr>
    </w:p>
    <w:p>
      <w:pPr>
        <w:pStyle w:val="15"/>
        <w:widowControl w:val="0"/>
        <w:numPr>
          <w:ilvl w:val="0"/>
          <w:numId w:val="3"/>
        </w:numPr>
        <w:autoSpaceDE w:val="0"/>
        <w:autoSpaceDN w:val="0"/>
        <w:adjustRightInd w:val="0"/>
        <w:snapToGrid w:val="0"/>
        <w:spacing w:after="0" w:line="360" w:lineRule="auto"/>
        <w:ind w:right="0" w:firstLineChars="0"/>
        <w:rPr>
          <w:rFonts w:hint="eastAsia" w:ascii="仿宋" w:hAnsi="仿宋" w:eastAsia="仿宋" w:cs="仿宋"/>
          <w:vanish/>
          <w:color w:val="000000" w:themeColor="text1"/>
          <w:kern w:val="0"/>
          <w:sz w:val="32"/>
          <w:szCs w:val="32"/>
          <w14:textFill>
            <w14:solidFill>
              <w14:schemeClr w14:val="tx1"/>
            </w14:solidFill>
          </w14:textFill>
        </w:rPr>
      </w:pPr>
    </w:p>
    <w:p>
      <w:pPr>
        <w:pStyle w:val="15"/>
        <w:widowControl w:val="0"/>
        <w:numPr>
          <w:ilvl w:val="0"/>
          <w:numId w:val="3"/>
        </w:numPr>
        <w:autoSpaceDE w:val="0"/>
        <w:autoSpaceDN w:val="0"/>
        <w:adjustRightInd w:val="0"/>
        <w:snapToGrid w:val="0"/>
        <w:spacing w:after="0" w:line="360" w:lineRule="auto"/>
        <w:ind w:right="0" w:firstLineChars="0"/>
        <w:rPr>
          <w:rFonts w:hint="eastAsia" w:ascii="仿宋" w:hAnsi="仿宋" w:eastAsia="仿宋" w:cs="仿宋"/>
          <w:vanish/>
          <w:color w:val="000000" w:themeColor="text1"/>
          <w:kern w:val="0"/>
          <w:sz w:val="32"/>
          <w:szCs w:val="32"/>
          <w14:textFill>
            <w14:solidFill>
              <w14:schemeClr w14:val="tx1"/>
            </w14:solidFill>
          </w14:textFill>
        </w:rPr>
      </w:pPr>
    </w:p>
    <w:p>
      <w:pPr>
        <w:pStyle w:val="15"/>
        <w:widowControl w:val="0"/>
        <w:numPr>
          <w:ilvl w:val="0"/>
          <w:numId w:val="3"/>
        </w:numPr>
        <w:autoSpaceDE w:val="0"/>
        <w:autoSpaceDN w:val="0"/>
        <w:adjustRightInd w:val="0"/>
        <w:snapToGrid w:val="0"/>
        <w:spacing w:after="0" w:line="360" w:lineRule="auto"/>
        <w:ind w:right="0" w:firstLineChars="0"/>
        <w:rPr>
          <w:rFonts w:hint="eastAsia" w:ascii="仿宋" w:hAnsi="仿宋" w:eastAsia="仿宋" w:cs="仿宋"/>
          <w:vanish/>
          <w:color w:val="000000" w:themeColor="text1"/>
          <w:kern w:val="0"/>
          <w:sz w:val="32"/>
          <w:szCs w:val="32"/>
          <w14:textFill>
            <w14:solidFill>
              <w14:schemeClr w14:val="tx1"/>
            </w14:solidFill>
          </w14:textFill>
        </w:rPr>
      </w:pPr>
    </w:p>
    <w:p>
      <w:pPr>
        <w:pStyle w:val="15"/>
        <w:spacing w:line="360" w:lineRule="auto"/>
        <w:ind w:left="0" w:firstLine="0" w:firstLineChars="0"/>
        <w:rPr>
          <w:rFonts w:hint="eastAsia" w:ascii="仿宋" w:hAnsi="仿宋" w:eastAsia="仿宋" w:cs="仿宋"/>
          <w:color w:val="auto"/>
          <w:kern w:val="0"/>
          <w:sz w:val="32"/>
          <w:szCs w:val="32"/>
        </w:rPr>
      </w:pPr>
      <w:r>
        <w:rPr>
          <w:rFonts w:hint="eastAsia" w:ascii="仿宋" w:hAnsi="仿宋" w:eastAsia="仿宋" w:cs="仿宋"/>
          <w:color w:val="000000" w:themeColor="text1"/>
          <w:kern w:val="0"/>
          <w:sz w:val="32"/>
          <w:szCs w:val="32"/>
          <w14:textFill>
            <w14:solidFill>
              <w14:schemeClr w14:val="tx1"/>
            </w14:solidFill>
          </w14:textFill>
        </w:rPr>
        <w:t>4.1 数据中心</w:t>
      </w:r>
      <w:r>
        <w:rPr>
          <w:rFonts w:hint="eastAsia" w:ascii="仿宋" w:hAnsi="仿宋" w:eastAsia="仿宋" w:cs="仿宋"/>
          <w:color w:val="000000" w:themeColor="text1"/>
          <w:kern w:val="0"/>
          <w:sz w:val="32"/>
          <w:szCs w:val="32"/>
          <w:lang w:eastAsia="zh-CN"/>
          <w14:textFill>
            <w14:solidFill>
              <w14:schemeClr w14:val="tx1"/>
            </w14:solidFill>
          </w14:textFill>
        </w:rPr>
        <w:t>相关设备和服务</w:t>
      </w:r>
      <w:r>
        <w:rPr>
          <w:rFonts w:hint="eastAsia" w:ascii="仿宋" w:hAnsi="仿宋" w:eastAsia="仿宋" w:cs="仿宋"/>
          <w:color w:val="000000" w:themeColor="text1"/>
          <w:kern w:val="0"/>
          <w:sz w:val="32"/>
          <w:szCs w:val="32"/>
          <w14:textFill>
            <w14:solidFill>
              <w14:schemeClr w14:val="tx1"/>
            </w14:solidFill>
          </w14:textFill>
        </w:rPr>
        <w:t>应符</w:t>
      </w:r>
      <w:r>
        <w:rPr>
          <w:rFonts w:hint="eastAsia" w:ascii="仿宋" w:hAnsi="仿宋" w:eastAsia="仿宋" w:cs="仿宋"/>
          <w:color w:val="auto"/>
          <w:kern w:val="0"/>
          <w:sz w:val="32"/>
          <w:szCs w:val="32"/>
        </w:rPr>
        <w:t>合相应法律法规和强制性标准的要求。</w:t>
      </w:r>
    </w:p>
    <w:p>
      <w:pPr>
        <w:pStyle w:val="15"/>
        <w:spacing w:line="360" w:lineRule="auto"/>
        <w:ind w:left="0" w:firstLine="0" w:firstLineChars="0"/>
        <w:rPr>
          <w:rFonts w:hint="eastAsia" w:ascii="仿宋" w:hAnsi="仿宋" w:eastAsia="仿宋" w:cs="仿宋"/>
          <w:i/>
          <w:iCs/>
          <w:color w:val="auto"/>
          <w:kern w:val="0"/>
          <w:sz w:val="32"/>
          <w:szCs w:val="32"/>
          <w:highlight w:val="none"/>
          <w:lang w:val="en-US" w:eastAsia="zh-CN"/>
        </w:rPr>
      </w:pPr>
      <w:r>
        <w:rPr>
          <w:rFonts w:hint="eastAsia" w:ascii="仿宋" w:hAnsi="仿宋" w:eastAsia="仿宋" w:cs="仿宋"/>
          <w:i/>
          <w:iCs/>
          <w:color w:val="auto"/>
          <w:kern w:val="0"/>
          <w:sz w:val="32"/>
          <w:szCs w:val="32"/>
          <w:lang w:val="en-US" w:eastAsia="zh-CN"/>
        </w:rPr>
        <w:t>合规性验证方式：查验</w:t>
      </w:r>
      <w:r>
        <w:rPr>
          <w:rFonts w:hint="eastAsia" w:ascii="仿宋" w:hAnsi="仿宋" w:eastAsia="仿宋" w:cs="仿宋"/>
          <w:i/>
          <w:iCs/>
          <w:color w:val="auto"/>
          <w:kern w:val="0"/>
          <w:sz w:val="32"/>
          <w:szCs w:val="32"/>
          <w:highlight w:val="none"/>
          <w:lang w:val="en-US" w:eastAsia="zh-CN"/>
        </w:rPr>
        <w:t>法律法规和强制性标准要求的数据中心合规文件。</w:t>
      </w:r>
    </w:p>
    <w:p>
      <w:pPr>
        <w:pStyle w:val="15"/>
        <w:spacing w:line="360" w:lineRule="auto"/>
        <w:ind w:left="0" w:firstLine="0" w:firstLineChars="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 xml:space="preserve"> 数据中心</w:t>
      </w:r>
      <w:r>
        <w:rPr>
          <w:rFonts w:hint="eastAsia" w:ascii="仿宋" w:hAnsi="仿宋" w:eastAsia="仿宋" w:cs="仿宋"/>
          <w:color w:val="000000" w:themeColor="text1"/>
          <w:kern w:val="0"/>
          <w:sz w:val="32"/>
          <w:szCs w:val="32"/>
          <w:lang w:eastAsia="zh-CN"/>
          <w14:textFill>
            <w14:solidFill>
              <w14:schemeClr w14:val="tx1"/>
            </w14:solidFill>
          </w14:textFill>
        </w:rPr>
        <w:t>相关设备和服务</w:t>
      </w:r>
      <w:r>
        <w:rPr>
          <w:rFonts w:hint="eastAsia" w:ascii="仿宋" w:hAnsi="仿宋" w:eastAsia="仿宋" w:cs="仿宋"/>
          <w:color w:val="auto"/>
          <w:kern w:val="0"/>
          <w:sz w:val="32"/>
          <w:szCs w:val="32"/>
        </w:rPr>
        <w:t>应</w:t>
      </w:r>
      <w:r>
        <w:rPr>
          <w:rFonts w:hint="eastAsia" w:ascii="仿宋" w:hAnsi="仿宋" w:eastAsia="仿宋" w:cs="仿宋"/>
          <w:color w:val="auto"/>
          <w:kern w:val="0"/>
          <w:sz w:val="32"/>
          <w:szCs w:val="32"/>
          <w:lang w:val="en-US" w:eastAsia="zh-CN"/>
        </w:rPr>
        <w:t>优先</w:t>
      </w:r>
      <w:r>
        <w:rPr>
          <w:rFonts w:hint="eastAsia" w:ascii="仿宋" w:hAnsi="仿宋" w:eastAsia="仿宋" w:cs="仿宋"/>
          <w:color w:val="auto"/>
          <w:kern w:val="0"/>
          <w:sz w:val="32"/>
          <w:szCs w:val="32"/>
          <w:lang w:eastAsia="zh-CN"/>
        </w:rPr>
        <w:t>采用</w:t>
      </w:r>
      <w:r>
        <w:rPr>
          <w:rFonts w:hint="eastAsia" w:ascii="仿宋" w:hAnsi="仿宋" w:eastAsia="仿宋" w:cs="仿宋"/>
          <w:color w:val="auto"/>
          <w:kern w:val="0"/>
          <w:sz w:val="32"/>
          <w:szCs w:val="32"/>
        </w:rPr>
        <w:t>国家鼓励的先进技术、工艺</w:t>
      </w:r>
      <w:r>
        <w:rPr>
          <w:rFonts w:hint="eastAsia" w:ascii="仿宋" w:hAnsi="仿宋" w:eastAsia="仿宋" w:cs="仿宋"/>
          <w:color w:val="auto"/>
          <w:kern w:val="0"/>
          <w:sz w:val="32"/>
          <w:szCs w:val="32"/>
          <w:lang w:eastAsia="zh-CN"/>
        </w:rPr>
        <w:t>、产品</w:t>
      </w:r>
      <w:r>
        <w:rPr>
          <w:rFonts w:hint="eastAsia" w:ascii="仿宋" w:hAnsi="仿宋" w:eastAsia="仿宋" w:cs="仿宋"/>
          <w:color w:val="auto"/>
          <w:kern w:val="0"/>
          <w:sz w:val="32"/>
          <w:szCs w:val="32"/>
        </w:rPr>
        <w:t>和装备，不得使用国家</w:t>
      </w:r>
      <w:r>
        <w:rPr>
          <w:rFonts w:hint="eastAsia" w:ascii="仿宋" w:hAnsi="仿宋" w:eastAsia="仿宋" w:cs="仿宋"/>
          <w:color w:val="auto"/>
          <w:kern w:val="0"/>
          <w:sz w:val="32"/>
          <w:szCs w:val="32"/>
          <w:lang w:eastAsia="zh-CN"/>
        </w:rPr>
        <w:t>公</w:t>
      </w:r>
      <w:r>
        <w:rPr>
          <w:rFonts w:hint="eastAsia" w:ascii="仿宋" w:hAnsi="仿宋" w:eastAsia="仿宋" w:cs="仿宋"/>
          <w:color w:val="auto"/>
          <w:kern w:val="0"/>
          <w:sz w:val="32"/>
          <w:szCs w:val="32"/>
        </w:rPr>
        <w:t>布的淘汰或禁止的技术、工艺、</w:t>
      </w:r>
      <w:r>
        <w:rPr>
          <w:rFonts w:hint="eastAsia" w:ascii="仿宋" w:hAnsi="仿宋" w:eastAsia="仿宋" w:cs="仿宋"/>
          <w:color w:val="auto"/>
          <w:kern w:val="0"/>
          <w:sz w:val="32"/>
          <w:szCs w:val="32"/>
          <w:lang w:val="en-US" w:eastAsia="zh-CN"/>
        </w:rPr>
        <w:t>产品、</w:t>
      </w:r>
      <w:r>
        <w:rPr>
          <w:rFonts w:hint="eastAsia" w:ascii="仿宋" w:hAnsi="仿宋" w:eastAsia="仿宋" w:cs="仿宋"/>
          <w:color w:val="auto"/>
          <w:kern w:val="0"/>
          <w:sz w:val="32"/>
          <w:szCs w:val="32"/>
        </w:rPr>
        <w:t>装备及相关物质。</w:t>
      </w:r>
    </w:p>
    <w:p>
      <w:pPr>
        <w:pStyle w:val="15"/>
        <w:spacing w:line="360" w:lineRule="auto"/>
        <w:ind w:left="0" w:firstLine="0" w:firstLineChars="0"/>
        <w:rPr>
          <w:rFonts w:hint="eastAsia" w:ascii="仿宋" w:hAnsi="仿宋" w:eastAsia="仿宋" w:cs="仿宋"/>
          <w:i/>
          <w:iCs/>
          <w:color w:val="auto"/>
          <w:kern w:val="0"/>
          <w:sz w:val="32"/>
          <w:szCs w:val="32"/>
          <w:lang w:val="en-US" w:eastAsia="zh-CN"/>
        </w:rPr>
      </w:pPr>
      <w:r>
        <w:rPr>
          <w:rFonts w:hint="eastAsia" w:ascii="仿宋" w:hAnsi="仿宋" w:eastAsia="仿宋" w:cs="仿宋"/>
          <w:i/>
          <w:iCs/>
          <w:color w:val="auto"/>
          <w:kern w:val="0"/>
          <w:sz w:val="32"/>
          <w:szCs w:val="32"/>
          <w:lang w:val="en-US" w:eastAsia="zh-CN"/>
        </w:rPr>
        <w:t>合规性验证方式：查验数据中心提供的设备和服务情况清单。</w:t>
      </w:r>
    </w:p>
    <w:p>
      <w:pPr>
        <w:pStyle w:val="15"/>
        <w:spacing w:line="360" w:lineRule="auto"/>
        <w:ind w:left="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auto"/>
          <w:kern w:val="0"/>
          <w:sz w:val="32"/>
          <w:szCs w:val="32"/>
        </w:rPr>
        <w:t>4.</w:t>
      </w:r>
      <w:r>
        <w:rPr>
          <w:rFonts w:hint="eastAsia" w:ascii="仿宋" w:hAnsi="仿宋" w:eastAsia="仿宋" w:cs="仿宋"/>
          <w:color w:val="auto"/>
          <w:kern w:val="0"/>
          <w:sz w:val="32"/>
          <w:szCs w:val="32"/>
          <w:lang w:val="en"/>
        </w:rPr>
        <w:t>3</w:t>
      </w:r>
      <w:r>
        <w:rPr>
          <w:rFonts w:hint="eastAsia" w:ascii="仿宋" w:hAnsi="仿宋" w:eastAsia="仿宋" w:cs="仿宋"/>
          <w:color w:val="000000" w:themeColor="text1"/>
          <w:kern w:val="0"/>
          <w:sz w:val="32"/>
          <w:szCs w:val="32"/>
          <w14:textFill>
            <w14:solidFill>
              <w14:schemeClr w14:val="tx1"/>
            </w14:solidFill>
          </w14:textFill>
        </w:rPr>
        <w:t xml:space="preserve"> 数据中心</w:t>
      </w:r>
      <w:r>
        <w:rPr>
          <w:rFonts w:hint="eastAsia" w:ascii="仿宋" w:hAnsi="仿宋" w:eastAsia="仿宋" w:cs="仿宋"/>
          <w:color w:val="000000" w:themeColor="text1"/>
          <w:kern w:val="0"/>
          <w:sz w:val="32"/>
          <w:szCs w:val="32"/>
          <w:lang w:eastAsia="zh-CN"/>
          <w14:textFill>
            <w14:solidFill>
              <w14:schemeClr w14:val="tx1"/>
            </w14:solidFill>
          </w14:textFill>
        </w:rPr>
        <w:t>相关设备和服务应当</w:t>
      </w:r>
      <w:r>
        <w:rPr>
          <w:rFonts w:hint="eastAsia" w:ascii="仿宋" w:hAnsi="仿宋" w:eastAsia="仿宋" w:cs="仿宋"/>
          <w:color w:val="000000" w:themeColor="text1"/>
          <w:kern w:val="0"/>
          <w:sz w:val="32"/>
          <w:szCs w:val="32"/>
          <w14:textFill>
            <w14:solidFill>
              <w14:schemeClr w14:val="tx1"/>
            </w14:solidFill>
          </w14:textFill>
        </w:rPr>
        <w:t>优先</w:t>
      </w:r>
      <w:r>
        <w:rPr>
          <w:rFonts w:hint="eastAsia" w:ascii="仿宋" w:hAnsi="仿宋" w:eastAsia="仿宋" w:cs="仿宋"/>
          <w:color w:val="000000" w:themeColor="text1"/>
          <w:kern w:val="0"/>
          <w:sz w:val="32"/>
          <w:szCs w:val="32"/>
          <w:lang w:eastAsia="zh-CN"/>
          <w14:textFill>
            <w14:solidFill>
              <w14:schemeClr w14:val="tx1"/>
            </w14:solidFill>
          </w14:textFill>
        </w:rPr>
        <w:t>选</w:t>
      </w:r>
      <w:r>
        <w:rPr>
          <w:rFonts w:hint="eastAsia" w:ascii="仿宋" w:hAnsi="仿宋" w:eastAsia="仿宋" w:cs="仿宋"/>
          <w:color w:val="000000" w:themeColor="text1"/>
          <w:kern w:val="0"/>
          <w:sz w:val="32"/>
          <w:szCs w:val="32"/>
          <w14:textFill>
            <w14:solidFill>
              <w14:schemeClr w14:val="tx1"/>
            </w14:solidFill>
          </w14:textFill>
        </w:rPr>
        <w:t>用新能源、液冷、分布式供电、模块化机房等高效方案。</w:t>
      </w:r>
    </w:p>
    <w:p>
      <w:pPr>
        <w:pStyle w:val="15"/>
        <w:spacing w:line="360" w:lineRule="auto"/>
        <w:ind w:left="0" w:firstLine="0" w:firstLineChars="0"/>
        <w:rPr>
          <w:rFonts w:hint="eastAsia" w:ascii="仿宋" w:hAnsi="仿宋" w:eastAsia="仿宋" w:cs="仿宋"/>
          <w:i/>
          <w:iCs/>
          <w:color w:val="000000" w:themeColor="text1"/>
          <w:kern w:val="0"/>
          <w:sz w:val="32"/>
          <w:szCs w:val="32"/>
          <w:lang w:val="en-US" w:eastAsia="zh-CN"/>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合规性验证方式：查验数据中心提供的相关证明材料或第三方认证证书。</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bookmarkStart w:id="1" w:name="_Hlk87428105"/>
      <w:r>
        <w:rPr>
          <w:rFonts w:hint="eastAsia" w:ascii="仿宋" w:hAnsi="仿宋" w:eastAsia="仿宋" w:cs="仿宋"/>
          <w:color w:val="000000" w:themeColor="text1"/>
          <w:sz w:val="32"/>
          <w:szCs w:val="32"/>
          <w14:textFill>
            <w14:solidFill>
              <w14:schemeClr w14:val="tx1"/>
            </w14:solidFill>
          </w14:textFill>
        </w:rPr>
        <w:t>5   运维</w:t>
      </w:r>
      <w:r>
        <w:rPr>
          <w:rFonts w:hint="eastAsia" w:ascii="仿宋" w:hAnsi="仿宋" w:eastAsia="仿宋" w:cs="仿宋"/>
          <w:color w:val="000000" w:themeColor="text1"/>
          <w:sz w:val="32"/>
          <w:szCs w:val="32"/>
          <w:lang w:eastAsia="zh-CN"/>
          <w14:textFill>
            <w14:solidFill>
              <w14:schemeClr w14:val="tx1"/>
            </w14:solidFill>
          </w14:textFill>
        </w:rPr>
        <w:t>服务</w:t>
      </w:r>
      <w:r>
        <w:rPr>
          <w:rFonts w:hint="eastAsia" w:ascii="仿宋" w:hAnsi="仿宋" w:eastAsia="仿宋" w:cs="仿宋"/>
          <w:color w:val="000000" w:themeColor="text1"/>
          <w:sz w:val="32"/>
          <w:szCs w:val="32"/>
          <w14:textFill>
            <w14:solidFill>
              <w14:schemeClr w14:val="tx1"/>
            </w14:solidFill>
          </w14:textFill>
        </w:rPr>
        <w:t>要求</w:t>
      </w:r>
    </w:p>
    <w:p>
      <w:pPr>
        <w:pStyle w:val="15"/>
        <w:spacing w:line="360" w:lineRule="auto"/>
        <w:ind w:left="0" w:right="153"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5.1</w:t>
      </w: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w:t>
      </w:r>
      <w:r>
        <w:rPr>
          <w:rFonts w:hint="eastAsia" w:ascii="仿宋" w:hAnsi="仿宋" w:eastAsia="仿宋" w:cs="仿宋"/>
          <w:color w:val="000000" w:themeColor="text1"/>
          <w:kern w:val="0"/>
          <w:sz w:val="32"/>
          <w:szCs w:val="32"/>
          <w14:textFill>
            <w14:solidFill>
              <w14:schemeClr w14:val="tx1"/>
            </w14:solidFill>
          </w14:textFill>
        </w:rPr>
        <w:t>2023年</w:t>
      </w:r>
      <w:r>
        <w:rPr>
          <w:rFonts w:hint="eastAsia" w:ascii="仿宋" w:hAnsi="仿宋" w:eastAsia="仿宋" w:cs="仿宋"/>
          <w:color w:val="000000" w:themeColor="text1"/>
          <w:kern w:val="0"/>
          <w:sz w:val="32"/>
          <w:szCs w:val="32"/>
          <w:lang w:val="en-US" w:eastAsia="zh-CN"/>
          <w14:textFill>
            <w14:solidFill>
              <w14:schemeClr w14:val="tx1"/>
            </w14:solidFill>
          </w14:textFill>
        </w:rPr>
        <w:t>6</w:t>
      </w:r>
      <w:r>
        <w:rPr>
          <w:rFonts w:hint="eastAsia" w:ascii="仿宋" w:hAnsi="仿宋" w:eastAsia="仿宋" w:cs="仿宋"/>
          <w:color w:val="000000" w:themeColor="text1"/>
          <w:kern w:val="0"/>
          <w:sz w:val="32"/>
          <w:szCs w:val="32"/>
          <w14:textFill>
            <w14:solidFill>
              <w14:schemeClr w14:val="tx1"/>
            </w14:solidFill>
          </w14:textFill>
        </w:rPr>
        <w:t>月起数据中心电能比不高于1.4，2025年起数据中心电能比不高于1.3。</w:t>
      </w:r>
    </w:p>
    <w:p>
      <w:pPr>
        <w:pStyle w:val="15"/>
        <w:spacing w:line="360" w:lineRule="auto"/>
        <w:ind w:left="0" w:firstLine="42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注：依据《数据中心能效限定值及能效等级》（GB 40879-2021）核算</w:t>
      </w:r>
    </w:p>
    <w:p>
      <w:pPr>
        <w:pStyle w:val="15"/>
        <w:spacing w:line="360" w:lineRule="auto"/>
        <w:ind w:left="0" w:leftChars="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合规性验证方式：查验数据中心提供的第三方的测试报告或第三方认证证书。</w:t>
      </w:r>
    </w:p>
    <w:p>
      <w:pPr>
        <w:pStyle w:val="15"/>
        <w:spacing w:line="360" w:lineRule="auto"/>
        <w:ind w:left="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5.2 数据中心使用的可再生能源使用比例应逐年增加。</w:t>
      </w:r>
    </w:p>
    <w:p>
      <w:pPr>
        <w:pStyle w:val="15"/>
        <w:adjustRightInd w:val="0"/>
        <w:snapToGrid w:val="0"/>
        <w:spacing w:after="0" w:line="360" w:lineRule="auto"/>
        <w:ind w:left="567" w:right="153" w:firstLine="0" w:firstLineChars="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表1  数据中心可再生能源使用率</w:t>
      </w:r>
    </w:p>
    <w:tbl>
      <w:tblPr>
        <w:tblStyle w:val="8"/>
        <w:tblW w:w="7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993"/>
        <w:gridCol w:w="1134"/>
        <w:gridCol w:w="99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2552"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年份</w:t>
            </w:r>
          </w:p>
        </w:tc>
        <w:tc>
          <w:tcPr>
            <w:tcW w:w="993"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2023</w:t>
            </w:r>
          </w:p>
        </w:tc>
        <w:tc>
          <w:tcPr>
            <w:tcW w:w="1134"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2025</w:t>
            </w:r>
          </w:p>
        </w:tc>
        <w:tc>
          <w:tcPr>
            <w:tcW w:w="992"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2027</w:t>
            </w:r>
          </w:p>
        </w:tc>
        <w:tc>
          <w:tcPr>
            <w:tcW w:w="992"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2030</w:t>
            </w:r>
          </w:p>
        </w:tc>
        <w:tc>
          <w:tcPr>
            <w:tcW w:w="1134"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2552"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可再生能源</w:t>
            </w:r>
            <w:r>
              <w:rPr>
                <w:rFonts w:hint="eastAsia" w:ascii="仿宋" w:hAnsi="仿宋" w:eastAsia="仿宋" w:cs="仿宋"/>
                <w:color w:val="000000" w:themeColor="text1"/>
                <w:kern w:val="0"/>
                <w:sz w:val="24"/>
                <w:szCs w:val="24"/>
                <w:lang w:val="en-US" w:eastAsia="zh-CN"/>
                <w14:textFill>
                  <w14:solidFill>
                    <w14:schemeClr w14:val="tx1"/>
                  </w14:solidFill>
                </w14:textFill>
              </w:rPr>
              <w:t>最低</w:t>
            </w:r>
            <w:r>
              <w:rPr>
                <w:rFonts w:hint="eastAsia" w:ascii="仿宋" w:hAnsi="仿宋" w:eastAsia="仿宋" w:cs="仿宋"/>
                <w:color w:val="000000" w:themeColor="text1"/>
                <w:kern w:val="0"/>
                <w:sz w:val="24"/>
                <w:szCs w:val="24"/>
                <w14:textFill>
                  <w14:solidFill>
                    <w14:schemeClr w14:val="tx1"/>
                  </w14:solidFill>
                </w14:textFill>
              </w:rPr>
              <w:t>使用率（%）</w:t>
            </w:r>
          </w:p>
        </w:tc>
        <w:tc>
          <w:tcPr>
            <w:tcW w:w="993"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w:t>
            </w:r>
          </w:p>
        </w:tc>
        <w:tc>
          <w:tcPr>
            <w:tcW w:w="1134"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30</w:t>
            </w:r>
          </w:p>
        </w:tc>
        <w:tc>
          <w:tcPr>
            <w:tcW w:w="992"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50</w:t>
            </w:r>
          </w:p>
        </w:tc>
        <w:tc>
          <w:tcPr>
            <w:tcW w:w="992"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75</w:t>
            </w:r>
          </w:p>
        </w:tc>
        <w:tc>
          <w:tcPr>
            <w:tcW w:w="1134" w:type="dxa"/>
            <w:shd w:val="clear" w:color="auto" w:fill="auto"/>
            <w:vAlign w:val="center"/>
          </w:tcPr>
          <w:p>
            <w:pPr>
              <w:pStyle w:val="15"/>
              <w:adjustRightInd w:val="0"/>
              <w:snapToGrid w:val="0"/>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100</w:t>
            </w:r>
          </w:p>
        </w:tc>
      </w:tr>
    </w:tbl>
    <w:p>
      <w:pPr>
        <w:pStyle w:val="15"/>
        <w:spacing w:line="360" w:lineRule="auto"/>
        <w:ind w:left="0" w:firstLine="420" w:firstLineChars="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注：依据GB/T 32910.2 附录B核算。可再生能源</w:t>
      </w:r>
      <w:r>
        <w:rPr>
          <w:rFonts w:hint="eastAsia" w:ascii="仿宋" w:hAnsi="仿宋" w:eastAsia="仿宋" w:cs="仿宋"/>
          <w:color w:val="000000" w:themeColor="text1"/>
          <w:kern w:val="0"/>
          <w:sz w:val="32"/>
          <w:szCs w:val="32"/>
          <w:lang w:val="en-US" w:eastAsia="zh-CN"/>
          <w14:textFill>
            <w14:solidFill>
              <w14:schemeClr w14:val="tx1"/>
            </w14:solidFill>
          </w14:textFill>
        </w:rPr>
        <w:t>包括自</w:t>
      </w:r>
      <w:r>
        <w:rPr>
          <w:rFonts w:hint="eastAsia" w:ascii="仿宋" w:hAnsi="仿宋" w:eastAsia="仿宋" w:cs="仿宋"/>
          <w:color w:val="000000" w:themeColor="text1"/>
          <w:kern w:val="0"/>
          <w:sz w:val="32"/>
          <w:szCs w:val="32"/>
          <w14:textFill>
            <w14:solidFill>
              <w14:schemeClr w14:val="tx1"/>
            </w14:solidFill>
          </w14:textFill>
        </w:rPr>
        <w:t>有产权设施产生的可再生能源</w:t>
      </w:r>
      <w:r>
        <w:rPr>
          <w:rFonts w:hint="eastAsia" w:ascii="仿宋" w:hAnsi="仿宋" w:eastAsia="仿宋" w:cs="仿宋"/>
          <w:color w:val="000000" w:themeColor="text1"/>
          <w:kern w:val="0"/>
          <w:sz w:val="32"/>
          <w:szCs w:val="32"/>
          <w:lang w:val="en-US" w:eastAsia="zh-CN"/>
          <w14:textFill>
            <w14:solidFill>
              <w14:schemeClr w14:val="tx1"/>
            </w14:solidFill>
          </w14:textFill>
        </w:rPr>
        <w:t>和</w:t>
      </w:r>
      <w:r>
        <w:rPr>
          <w:rFonts w:hint="eastAsia" w:ascii="仿宋" w:hAnsi="仿宋" w:eastAsia="仿宋" w:cs="仿宋"/>
          <w:color w:val="000000" w:themeColor="text1"/>
          <w:kern w:val="0"/>
          <w:sz w:val="32"/>
          <w:szCs w:val="32"/>
          <w14:textFill>
            <w14:solidFill>
              <w14:schemeClr w14:val="tx1"/>
            </w14:solidFill>
          </w14:textFill>
        </w:rPr>
        <w:t>购买的可再生能源。</w:t>
      </w:r>
    </w:p>
    <w:p>
      <w:pPr>
        <w:pStyle w:val="15"/>
        <w:spacing w:line="360" w:lineRule="auto"/>
        <w:ind w:left="0" w:leftChars="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合规性验证方式：查验自有产权设施产生的可再生能源或可再生能源购买凭证或第三方认证证书。</w:t>
      </w:r>
    </w:p>
    <w:p>
      <w:pPr>
        <w:pStyle w:val="15"/>
        <w:spacing w:line="360" w:lineRule="auto"/>
        <w:ind w:left="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5.3 数据中心水资源全年消耗量与信息设备全年耗电量的比值不高于2.5L/kWh。</w:t>
      </w:r>
    </w:p>
    <w:p>
      <w:pPr>
        <w:pStyle w:val="15"/>
        <w:spacing w:line="360" w:lineRule="auto"/>
        <w:ind w:left="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合规性验证方式：查验数据中心提供的相关凭证或第三方认证证书。</w:t>
      </w:r>
    </w:p>
    <w:bookmarkEnd w:id="1"/>
    <w:p>
      <w:pPr>
        <w:pStyle w:val="15"/>
        <w:spacing w:line="360" w:lineRule="auto"/>
        <w:ind w:left="0" w:firstLine="0" w:firstLineChars="0"/>
        <w:rPr>
          <w:rFonts w:hint="eastAsia" w:ascii="仿宋" w:hAnsi="仿宋" w:eastAsia="仿宋" w:cs="仿宋"/>
          <w:color w:val="000000" w:themeColor="text1"/>
          <w:kern w:val="0"/>
          <w:sz w:val="32"/>
          <w:szCs w:val="32"/>
          <w:lang w:eastAsia="zh-CN"/>
          <w14:textFill>
            <w14:solidFill>
              <w14:schemeClr w14:val="tx1"/>
            </w14:solidFill>
          </w14:textFill>
        </w:rPr>
      </w:pPr>
      <w:bookmarkStart w:id="2" w:name="_Hlk87428432"/>
      <w:r>
        <w:rPr>
          <w:rFonts w:hint="eastAsia" w:ascii="仿宋" w:hAnsi="仿宋" w:eastAsia="仿宋" w:cs="仿宋"/>
          <w:color w:val="000000" w:themeColor="text1"/>
          <w:kern w:val="0"/>
          <w:sz w:val="32"/>
          <w:szCs w:val="32"/>
          <w:lang w:val="en-US" w:eastAsia="zh-CN"/>
          <w14:textFill>
            <w14:solidFill>
              <w14:schemeClr w14:val="tx1"/>
            </w14:solidFill>
          </w14:textFill>
        </w:rPr>
        <w:t>5</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4</w:t>
      </w:r>
      <w:r>
        <w:rPr>
          <w:rFonts w:hint="eastAsia" w:ascii="仿宋" w:hAnsi="仿宋" w:eastAsia="仿宋" w:cs="仿宋"/>
          <w:color w:val="000000" w:themeColor="text1"/>
          <w:kern w:val="0"/>
          <w:sz w:val="32"/>
          <w:szCs w:val="32"/>
          <w14:textFill>
            <w14:solidFill>
              <w14:schemeClr w14:val="tx1"/>
            </w14:solidFill>
          </w14:textFill>
        </w:rPr>
        <w:t xml:space="preserve"> 数据中心应有负责运维和能源环境管理的组织。能源计量器具配备</w:t>
      </w:r>
      <w:r>
        <w:rPr>
          <w:rFonts w:hint="eastAsia" w:ascii="仿宋" w:hAnsi="仿宋" w:eastAsia="仿宋" w:cs="仿宋"/>
          <w:color w:val="000000" w:themeColor="text1"/>
          <w:kern w:val="0"/>
          <w:sz w:val="32"/>
          <w:szCs w:val="32"/>
          <w:lang w:eastAsia="zh-CN"/>
          <w14:textFill>
            <w14:solidFill>
              <w14:schemeClr w14:val="tx1"/>
            </w14:solidFill>
          </w14:textFill>
        </w:rPr>
        <w:t>应</w:t>
      </w:r>
      <w:r>
        <w:rPr>
          <w:rFonts w:hint="eastAsia" w:ascii="仿宋" w:hAnsi="仿宋" w:eastAsia="仿宋" w:cs="仿宋"/>
          <w:color w:val="000000" w:themeColor="text1"/>
          <w:kern w:val="0"/>
          <w:sz w:val="32"/>
          <w:szCs w:val="32"/>
          <w14:textFill>
            <w14:solidFill>
              <w14:schemeClr w14:val="tx1"/>
            </w14:solidFill>
          </w14:textFill>
        </w:rPr>
        <w:t>符合GB 17167要求及能耗测量需求</w:t>
      </w:r>
      <w:r>
        <w:rPr>
          <w:rFonts w:hint="eastAsia" w:ascii="仿宋" w:hAnsi="仿宋" w:eastAsia="仿宋" w:cs="仿宋"/>
          <w:color w:val="000000" w:themeColor="text1"/>
          <w:kern w:val="0"/>
          <w:sz w:val="32"/>
          <w:szCs w:val="32"/>
          <w:lang w:eastAsia="zh-CN"/>
          <w14:textFill>
            <w14:solidFill>
              <w14:schemeClr w14:val="tx1"/>
            </w14:solidFill>
          </w14:textFill>
        </w:rPr>
        <w:t>。</w:t>
      </w:r>
    </w:p>
    <w:p>
      <w:pPr>
        <w:pStyle w:val="15"/>
        <w:spacing w:line="360" w:lineRule="auto"/>
        <w:ind w:left="0" w:firstLine="0" w:firstLineChars="0"/>
        <w:rPr>
          <w:rFonts w:hint="eastAsia" w:ascii="仿宋" w:hAnsi="仿宋" w:eastAsia="仿宋" w:cs="仿宋"/>
          <w:color w:val="000000" w:themeColor="text1"/>
          <w:kern w:val="0"/>
          <w:sz w:val="32"/>
          <w:szCs w:val="32"/>
          <w:lang w:val="en-US"/>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合规性验证方式：查验数据中心负责运维和能源环境管理的组织相关文件或第三方认证证书。</w:t>
      </w:r>
    </w:p>
    <w:p>
      <w:pPr>
        <w:pStyle w:val="15"/>
        <w:spacing w:line="360" w:lineRule="auto"/>
        <w:ind w:left="-15" w:leftChars="-7" w:firstLine="22" w:firstLineChars="7"/>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5</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5 </w:t>
      </w:r>
      <w:r>
        <w:rPr>
          <w:rFonts w:hint="eastAsia" w:ascii="仿宋" w:hAnsi="仿宋" w:eastAsia="仿宋" w:cs="仿宋"/>
          <w:color w:val="000000" w:themeColor="text1"/>
          <w:kern w:val="0"/>
          <w:sz w:val="32"/>
          <w:szCs w:val="32"/>
          <w14:textFill>
            <w14:solidFill>
              <w14:schemeClr w14:val="tx1"/>
            </w14:solidFill>
          </w14:textFill>
        </w:rPr>
        <w:t>数据中心应开展绿色供应链管理，并建立绿色供应链评价机制、程序，确定评价指标和评价方法。</w:t>
      </w:r>
    </w:p>
    <w:p>
      <w:pPr>
        <w:pStyle w:val="15"/>
        <w:spacing w:line="360" w:lineRule="auto"/>
        <w:ind w:left="-15" w:leftChars="-7" w:firstLine="22" w:firstLineChars="7"/>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合规性验证方式：查验数据中心提供的绿色供应链管理相关文件和相关记录或第三方认证证书。</w:t>
      </w:r>
    </w:p>
    <w:p>
      <w:pPr>
        <w:pStyle w:val="15"/>
        <w:spacing w:line="360" w:lineRule="auto"/>
        <w:ind w:left="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5</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6</w:t>
      </w:r>
      <w:r>
        <w:rPr>
          <w:rFonts w:hint="eastAsia" w:ascii="仿宋" w:hAnsi="仿宋" w:eastAsia="仿宋" w:cs="仿宋"/>
          <w:color w:val="000000" w:themeColor="text1"/>
          <w:kern w:val="0"/>
          <w:sz w:val="32"/>
          <w:szCs w:val="32"/>
          <w14:textFill>
            <w14:solidFill>
              <w14:schemeClr w14:val="tx1"/>
            </w14:solidFill>
          </w14:textFill>
        </w:rPr>
        <w:t xml:space="preserve"> 年能源消费量达到1000吨标准煤（含，电力按当量值计算）的数据中心应建立并实施能源管理体系，同时开展碳排放核查和管理。年能源消费量</w:t>
      </w:r>
      <w:r>
        <w:rPr>
          <w:rFonts w:hint="eastAsia" w:ascii="仿宋" w:hAnsi="仿宋" w:eastAsia="仿宋" w:cs="仿宋"/>
          <w:color w:val="000000" w:themeColor="text1"/>
          <w:kern w:val="0"/>
          <w:sz w:val="32"/>
          <w:szCs w:val="32"/>
          <w:lang w:eastAsia="zh-CN"/>
          <w14:textFill>
            <w14:solidFill>
              <w14:schemeClr w14:val="tx1"/>
            </w14:solidFill>
          </w14:textFill>
        </w:rPr>
        <w:t>在</w:t>
      </w:r>
      <w:r>
        <w:rPr>
          <w:rFonts w:hint="eastAsia" w:ascii="仿宋" w:hAnsi="仿宋" w:eastAsia="仿宋" w:cs="仿宋"/>
          <w:color w:val="000000" w:themeColor="text1"/>
          <w:kern w:val="0"/>
          <w:sz w:val="32"/>
          <w:szCs w:val="32"/>
          <w14:textFill>
            <w14:solidFill>
              <w14:schemeClr w14:val="tx1"/>
            </w14:solidFill>
          </w14:textFill>
        </w:rPr>
        <w:t>1000吨标准煤以下的数据中心应建立主要用能设备（系统）能源监测体系，并完成能源</w:t>
      </w:r>
      <w:r>
        <w:rPr>
          <w:rFonts w:hint="eastAsia" w:ascii="仿宋" w:hAnsi="仿宋" w:eastAsia="仿宋" w:cs="仿宋"/>
          <w:color w:val="000000" w:themeColor="text1"/>
          <w:kern w:val="0"/>
          <w:sz w:val="32"/>
          <w:szCs w:val="32"/>
          <w:lang w:val="en-US" w:eastAsia="zh-CN"/>
          <w14:textFill>
            <w14:solidFill>
              <w14:schemeClr w14:val="tx1"/>
            </w14:solidFill>
          </w14:textFill>
        </w:rPr>
        <w:t>利用状况</w:t>
      </w:r>
      <w:r>
        <w:rPr>
          <w:rFonts w:hint="eastAsia" w:ascii="仿宋" w:hAnsi="仿宋" w:eastAsia="仿宋" w:cs="仿宋"/>
          <w:color w:val="000000" w:themeColor="text1"/>
          <w:kern w:val="0"/>
          <w:sz w:val="32"/>
          <w:szCs w:val="32"/>
          <w14:textFill>
            <w14:solidFill>
              <w14:schemeClr w14:val="tx1"/>
            </w14:solidFill>
          </w14:textFill>
        </w:rPr>
        <w:t>报告。</w:t>
      </w:r>
    </w:p>
    <w:p>
      <w:pPr>
        <w:pStyle w:val="15"/>
        <w:spacing w:line="360" w:lineRule="auto"/>
        <w:ind w:left="-15" w:leftChars="-7" w:firstLine="22" w:firstLineChars="7"/>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对年能源消费量达到1000吨标准煤以上数据中心查验能源管理体系文件、碳排放核查记录或第三方碳核查报告或第三方认证证书；对年能源消费量为1000吨标准煤以下数据中心查验能源利用状况报告或第三方认证证书。</w:t>
      </w:r>
    </w:p>
    <w:p>
      <w:pPr>
        <w:pStyle w:val="15"/>
        <w:spacing w:line="360" w:lineRule="auto"/>
        <w:ind w:left="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5</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7</w:t>
      </w:r>
      <w:r>
        <w:rPr>
          <w:rFonts w:hint="eastAsia" w:ascii="仿宋" w:hAnsi="仿宋" w:eastAsia="仿宋" w:cs="仿宋"/>
          <w:color w:val="000000" w:themeColor="text1"/>
          <w:kern w:val="0"/>
          <w:sz w:val="32"/>
          <w:szCs w:val="32"/>
          <w14:textFill>
            <w14:solidFill>
              <w14:schemeClr w14:val="tx1"/>
            </w14:solidFill>
          </w14:textFill>
        </w:rPr>
        <w:t xml:space="preserve"> 数据中心应建立符合国家对于废旧电子电器产品处理与回收要求</w:t>
      </w:r>
      <w:r>
        <w:rPr>
          <w:rFonts w:hint="eastAsia" w:ascii="仿宋" w:hAnsi="仿宋" w:eastAsia="仿宋" w:cs="仿宋"/>
          <w:color w:val="000000" w:themeColor="text1"/>
          <w:kern w:val="0"/>
          <w:sz w:val="32"/>
          <w:szCs w:val="32"/>
          <w:lang w:eastAsia="zh-CN"/>
          <w14:textFill>
            <w14:solidFill>
              <w14:schemeClr w14:val="tx1"/>
            </w14:solidFill>
          </w14:textFill>
        </w:rPr>
        <w:t>的</w:t>
      </w:r>
      <w:r>
        <w:rPr>
          <w:rFonts w:hint="eastAsia" w:ascii="仿宋" w:hAnsi="仿宋" w:eastAsia="仿宋" w:cs="仿宋"/>
          <w:color w:val="000000" w:themeColor="text1"/>
          <w:kern w:val="0"/>
          <w:sz w:val="32"/>
          <w:szCs w:val="32"/>
          <w14:textFill>
            <w14:solidFill>
              <w14:schemeClr w14:val="tx1"/>
            </w14:solidFill>
          </w14:textFill>
        </w:rPr>
        <w:t>循环利用和回收的管理机制</w:t>
      </w:r>
      <w:r>
        <w:rPr>
          <w:rFonts w:hint="eastAsia" w:ascii="仿宋" w:hAnsi="仿宋" w:eastAsia="仿宋" w:cs="仿宋"/>
          <w:color w:val="000000" w:themeColor="text1"/>
          <w:kern w:val="0"/>
          <w:sz w:val="32"/>
          <w:szCs w:val="32"/>
          <w:lang w:eastAsia="zh-CN"/>
          <w14:textFill>
            <w14:solidFill>
              <w14:schemeClr w14:val="tx1"/>
            </w14:solidFill>
          </w14:textFill>
        </w:rPr>
        <w:t>。</w:t>
      </w:r>
    </w:p>
    <w:p>
      <w:pPr>
        <w:pStyle w:val="15"/>
        <w:spacing w:line="360" w:lineRule="auto"/>
        <w:ind w:left="0" w:firstLine="0" w:firstLineChars="0"/>
        <w:rPr>
          <w:rFonts w:hint="eastAsia" w:ascii="仿宋" w:hAnsi="仿宋" w:eastAsia="仿宋" w:cs="仿宋"/>
          <w:i/>
          <w:iCs/>
          <w:color w:val="000000" w:themeColor="text1"/>
          <w:kern w:val="0"/>
          <w:sz w:val="32"/>
          <w:szCs w:val="32"/>
          <w:lang w:val="en-US" w:eastAsia="zh-CN"/>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合规性验证方式：查验废弃物品的循环利用和回收的管理文件或第三方认证证书。</w:t>
      </w:r>
      <w:bookmarkEnd w:id="2"/>
    </w:p>
    <w:p>
      <w:pPr>
        <w:pStyle w:val="15"/>
        <w:spacing w:line="360" w:lineRule="auto"/>
        <w:ind w:left="0" w:firstLine="0" w:firstLineChars="0"/>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5.8</w:t>
      </w:r>
      <w:r>
        <w:rPr>
          <w:rFonts w:hint="eastAsia" w:ascii="仿宋" w:hAnsi="仿宋" w:eastAsia="仿宋" w:cs="仿宋"/>
          <w:color w:val="auto"/>
          <w:kern w:val="0"/>
          <w:sz w:val="32"/>
          <w:szCs w:val="32"/>
        </w:rPr>
        <w:t xml:space="preserve"> 数据中心运行噪声应符合当地噪声排放限值要求。</w:t>
      </w:r>
    </w:p>
    <w:p>
      <w:pPr>
        <w:pStyle w:val="15"/>
        <w:spacing w:line="360" w:lineRule="auto"/>
        <w:ind w:left="0" w:firstLine="0" w:firstLineChars="0"/>
        <w:rPr>
          <w:rFonts w:hint="eastAsia" w:ascii="仿宋" w:hAnsi="仿宋" w:eastAsia="仿宋" w:cs="仿宋"/>
          <w:color w:val="auto"/>
          <w:kern w:val="0"/>
          <w:sz w:val="32"/>
          <w:szCs w:val="32"/>
        </w:rPr>
      </w:pPr>
      <w:r>
        <w:rPr>
          <w:rFonts w:hint="eastAsia" w:ascii="仿宋" w:hAnsi="仿宋" w:eastAsia="仿宋" w:cs="仿宋"/>
          <w:i/>
          <w:iCs/>
          <w:color w:val="auto"/>
          <w:kern w:val="0"/>
          <w:sz w:val="32"/>
          <w:szCs w:val="32"/>
          <w:lang w:val="en-US" w:eastAsia="zh-CN"/>
        </w:rPr>
        <w:t>合规性验证方式：查验数据中心提供的厂界噪音第三方的监测报告。</w:t>
      </w:r>
    </w:p>
    <w:p>
      <w:pPr>
        <w:pStyle w:val="13"/>
        <w:spacing w:line="360" w:lineRule="auto"/>
        <w:rPr>
          <w:rFonts w:hint="eastAsia" w:ascii="仿宋" w:hAnsi="仿宋" w:eastAsia="仿宋" w:cs="仿宋"/>
          <w:color w:val="000000" w:themeColor="text1"/>
          <w:sz w:val="32"/>
          <w:szCs w:val="32"/>
          <w14:textFill>
            <w14:solidFill>
              <w14:schemeClr w14:val="tx1"/>
            </w14:solidFill>
          </w14:textFill>
        </w:rPr>
      </w:pPr>
      <w:bookmarkStart w:id="3" w:name="_Hlk87428529"/>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 xml:space="preserve">   数据中心信息（IT）设备及配套设备要求</w:t>
      </w:r>
      <w:bookmarkEnd w:id="3"/>
    </w:p>
    <w:p>
      <w:pPr>
        <w:pStyle w:val="13"/>
        <w:spacing w:line="360" w:lineRule="auto"/>
        <w:rPr>
          <w:rFonts w:hint="eastAsia" w:ascii="仿宋" w:hAnsi="仿宋" w:eastAsia="仿宋" w:cs="仿宋"/>
          <w:color w:val="000000" w:themeColor="text1"/>
          <w:sz w:val="32"/>
          <w:szCs w:val="32"/>
          <w:highlight w:val="yellow"/>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本部分要求适用于数据中心信息（IT）设备及配套设备。</w:t>
      </w:r>
    </w:p>
    <w:p>
      <w:pPr>
        <w:pStyle w:val="15"/>
        <w:numPr>
          <w:ilvl w:val="-1"/>
          <w:numId w:val="0"/>
        </w:numPr>
        <w:spacing w:line="360" w:lineRule="auto"/>
        <w:ind w:left="0" w:firstLine="0"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0"/>
          <w:numId w:val="4"/>
        </w:numPr>
        <w:spacing w:line="360" w:lineRule="auto"/>
        <w:ind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0"/>
          <w:numId w:val="4"/>
        </w:numPr>
        <w:spacing w:line="360" w:lineRule="auto"/>
        <w:ind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0"/>
          <w:numId w:val="4"/>
        </w:numPr>
        <w:spacing w:line="360" w:lineRule="auto"/>
        <w:ind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1"/>
          <w:numId w:val="4"/>
        </w:numPr>
        <w:spacing w:line="360" w:lineRule="auto"/>
        <w:ind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0"/>
          <w:numId w:val="5"/>
        </w:numPr>
        <w:spacing w:line="360" w:lineRule="auto"/>
        <w:ind w:firstLineChars="0"/>
        <w:rPr>
          <w:rFonts w:hint="eastAsia" w:ascii="仿宋" w:hAnsi="仿宋" w:eastAsia="仿宋" w:cs="仿宋"/>
          <w:vanish/>
          <w:color w:val="000000" w:themeColor="text1"/>
          <w:kern w:val="0"/>
          <w:sz w:val="32"/>
          <w:szCs w:val="32"/>
          <w14:textFill>
            <w14:solidFill>
              <w14:schemeClr w14:val="tx1"/>
            </w14:solidFill>
          </w14:textFill>
        </w:rPr>
      </w:pPr>
    </w:p>
    <w:p>
      <w:pPr>
        <w:spacing w:after="156" w:afterLines="50" w:line="360" w:lineRule="auto"/>
        <w:rPr>
          <w:rFonts w:hint="eastAsia" w:ascii="仿宋" w:hAnsi="仿宋" w:eastAsia="仿宋" w:cs="仿宋"/>
          <w:color w:val="000000" w:themeColor="text1"/>
          <w:kern w:val="0"/>
          <w:sz w:val="32"/>
          <w:szCs w:val="32"/>
          <w14:textFill>
            <w14:solidFill>
              <w14:schemeClr w14:val="tx1"/>
            </w14:solidFill>
          </w14:textFill>
        </w:rPr>
      </w:pPr>
      <w:bookmarkStart w:id="4" w:name="_Hlk87428589"/>
      <w:r>
        <w:rPr>
          <w:rFonts w:hint="eastAsia" w:ascii="仿宋" w:hAnsi="仿宋" w:eastAsia="仿宋" w:cs="仿宋"/>
          <w:color w:val="000000" w:themeColor="text1"/>
          <w:kern w:val="0"/>
          <w:sz w:val="32"/>
          <w:szCs w:val="32"/>
          <w:lang w:val="en-US" w:eastAsia="zh-CN"/>
          <w14:textFill>
            <w14:solidFill>
              <w14:schemeClr w14:val="tx1"/>
            </w14:solidFill>
          </w14:textFill>
        </w:rPr>
        <w:t>6</w:t>
      </w:r>
      <w:r>
        <w:rPr>
          <w:rFonts w:hint="eastAsia" w:ascii="仿宋" w:hAnsi="仿宋" w:eastAsia="仿宋" w:cs="仿宋"/>
          <w:color w:val="000000" w:themeColor="text1"/>
          <w:kern w:val="0"/>
          <w:sz w:val="32"/>
          <w:szCs w:val="32"/>
          <w14:textFill>
            <w14:solidFill>
              <w14:schemeClr w14:val="tx1"/>
            </w14:solidFill>
          </w14:textFill>
        </w:rPr>
        <w:t>.1 通用要求</w:t>
      </w:r>
    </w:p>
    <w:p>
      <w:pPr>
        <w:spacing w:after="156" w:afterLines="50"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设备均应符合法律法规和强制性标准的要求。</w:t>
      </w:r>
    </w:p>
    <w:p>
      <w:pPr>
        <w:pStyle w:val="15"/>
        <w:numPr>
          <w:ilvl w:val="-1"/>
          <w:numId w:val="0"/>
        </w:numPr>
        <w:spacing w:after="156" w:afterLines="50" w:line="360" w:lineRule="auto"/>
        <w:ind w:left="0" w:firstLine="0"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1"/>
          <w:numId w:val="4"/>
        </w:numPr>
        <w:spacing w:after="156" w:afterLines="50" w:line="360" w:lineRule="auto"/>
        <w:ind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0"/>
          <w:numId w:val="4"/>
        </w:numPr>
        <w:spacing w:after="156" w:afterLines="50" w:line="360" w:lineRule="auto"/>
        <w:ind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1"/>
          <w:numId w:val="4"/>
        </w:numPr>
        <w:spacing w:after="156" w:afterLines="50" w:line="360" w:lineRule="auto"/>
        <w:ind w:firstLineChars="0"/>
        <w:rPr>
          <w:rFonts w:hint="eastAsia" w:ascii="仿宋" w:hAnsi="仿宋" w:eastAsia="仿宋" w:cs="仿宋"/>
          <w:vanish/>
          <w:color w:val="000000" w:themeColor="text1"/>
          <w:sz w:val="32"/>
          <w:szCs w:val="32"/>
          <w14:textFill>
            <w14:solidFill>
              <w14:schemeClr w14:val="tx1"/>
            </w14:solidFill>
          </w14:textFill>
        </w:rPr>
      </w:pPr>
    </w:p>
    <w:p>
      <w:pPr>
        <w:pStyle w:val="15"/>
        <w:numPr>
          <w:ilvl w:val="1"/>
          <w:numId w:val="4"/>
        </w:numPr>
        <w:spacing w:after="156" w:afterLines="50" w:line="360" w:lineRule="auto"/>
        <w:ind w:firstLineChars="0"/>
        <w:rPr>
          <w:rFonts w:hint="eastAsia" w:ascii="仿宋" w:hAnsi="仿宋" w:eastAsia="仿宋" w:cs="仿宋"/>
          <w:vanish/>
          <w:color w:val="000000" w:themeColor="text1"/>
          <w:sz w:val="32"/>
          <w:szCs w:val="32"/>
          <w14:textFill>
            <w14:solidFill>
              <w14:schemeClr w14:val="tx1"/>
            </w14:solidFill>
          </w14:textFill>
        </w:rPr>
      </w:pPr>
    </w:p>
    <w:p>
      <w:pPr>
        <w:spacing w:after="156" w:afterLines="50" w:line="360" w:lineRule="auto"/>
        <w:outlineLvl w:val="2"/>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.1.1 质量超过25g的塑料部件需采用单一类型聚合物或者共聚物，不得含有无法从塑料中分离出来的金属物。</w:t>
      </w:r>
    </w:p>
    <w:p>
      <w:pPr>
        <w:spacing w:after="156" w:afterLines="50" w:line="360" w:lineRule="auto"/>
        <w:outlineLvl w:val="2"/>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合规性验证方式：查验数据中心提供的第三方认证证书。</w:t>
      </w:r>
    </w:p>
    <w:p>
      <w:pPr>
        <w:spacing w:after="156" w:afterLines="50" w:line="360" w:lineRule="auto"/>
        <w:outlineLvl w:val="2"/>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.1.2 对于采用粘接、焊接或者其他的紧固技术紧固在一起的，</w:t>
      </w:r>
      <w:r>
        <w:rPr>
          <w:rFonts w:hint="eastAsia" w:ascii="仿宋" w:hAnsi="仿宋" w:eastAsia="仿宋" w:cs="仿宋"/>
          <w:color w:val="000000" w:themeColor="text1"/>
          <w:sz w:val="32"/>
          <w:szCs w:val="32"/>
          <w:lang w:val="en-US" w:eastAsia="zh-CN"/>
          <w14:textFill>
            <w14:solidFill>
              <w14:schemeClr w14:val="tx1"/>
            </w14:solidFill>
          </w14:textFill>
        </w:rPr>
        <w:t>且</w:t>
      </w:r>
      <w:r>
        <w:rPr>
          <w:rFonts w:hint="eastAsia" w:ascii="仿宋" w:hAnsi="仿宋" w:eastAsia="仿宋" w:cs="仿宋"/>
          <w:color w:val="000000" w:themeColor="text1"/>
          <w:sz w:val="32"/>
          <w:szCs w:val="32"/>
          <w14:textFill>
            <w14:solidFill>
              <w14:schemeClr w14:val="tx1"/>
            </w14:solidFill>
          </w14:textFill>
        </w:rPr>
        <w:t>不能使用普通工具分离的热塑性塑料部件，应符合相应的相容性要求。不同热塑性塑料的兼容性表参见GB/T 32355.2，5.1表1。</w:t>
      </w:r>
    </w:p>
    <w:p>
      <w:pPr>
        <w:spacing w:after="156" w:afterLines="50" w:line="360" w:lineRule="auto"/>
        <w:outlineLvl w:val="2"/>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合规性验证方式：查验数据中心提供的第三方认证证书。</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.1.3 在外壳、防护部件的塑胶部件上除企业名称、商标及产品型号、功能性指示信息外，不得喷涂装饰</w:t>
      </w:r>
      <w:r>
        <w:rPr>
          <w:rFonts w:hint="eastAsia" w:ascii="仿宋" w:hAnsi="仿宋" w:eastAsia="仿宋" w:cs="仿宋"/>
          <w:color w:val="000000" w:themeColor="text1"/>
          <w:sz w:val="32"/>
          <w:szCs w:val="32"/>
          <w:highlight w:val="none"/>
          <w:lang w:val="en-US" w:eastAsia="zh-CN"/>
          <w14:textFill>
            <w14:solidFill>
              <w14:schemeClr w14:val="tx1"/>
            </w14:solidFill>
          </w14:textFill>
        </w:rPr>
        <w:t>性</w:t>
      </w:r>
      <w:r>
        <w:rPr>
          <w:rFonts w:hint="eastAsia" w:ascii="仿宋" w:hAnsi="仿宋" w:eastAsia="仿宋" w:cs="仿宋"/>
          <w:color w:val="000000" w:themeColor="text1"/>
          <w:sz w:val="32"/>
          <w:szCs w:val="32"/>
          <w:highlight w:val="none"/>
          <w14:textFill>
            <w14:solidFill>
              <w14:schemeClr w14:val="tx1"/>
            </w14:solidFill>
          </w14:textFill>
        </w:rPr>
        <w:t>图案。</w:t>
      </w:r>
    </w:p>
    <w:p>
      <w:pPr>
        <w:spacing w:after="156" w:afterLines="50" w:line="360" w:lineRule="auto"/>
        <w:outlineLvl w:val="2"/>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合规性验证方式：查验数据中心提供的第三方认证证书。</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.1.4 显示器的背光灯中汞含量应小于3mg。</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.1.5 电线电缆中氟含量不得大于0.1%。</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.1.6 除电线电缆外, 质量大于 25g 的塑料零件中不得添加含有邻苯二甲酸二异丁酯(DIBP)（CAS号：84-69-5）、邻苯二甲酸二（2-乙基）己酯(DEHP)( CAS号：</w:t>
      </w:r>
      <w:r>
        <w:rPr>
          <w:rFonts w:hint="eastAsia" w:ascii="仿宋" w:hAnsi="仿宋" w:eastAsia="仿宋" w:cs="仿宋"/>
          <w:color w:val="000000" w:themeColor="text1"/>
          <w:sz w:val="32"/>
          <w:szCs w:val="32"/>
          <w:highlight w:val="none"/>
          <w14:textFill>
            <w14:solidFill>
              <w14:schemeClr w14:val="tx1"/>
            </w14:solidFill>
          </w14:textFill>
        </w:rPr>
        <w:fldChar w:fldCharType="begin"/>
      </w:r>
      <w:r>
        <w:rPr>
          <w:rFonts w:hint="eastAsia" w:ascii="仿宋" w:hAnsi="仿宋" w:eastAsia="仿宋" w:cs="仿宋"/>
          <w:color w:val="000000" w:themeColor="text1"/>
          <w:sz w:val="32"/>
          <w:szCs w:val="32"/>
          <w:highlight w:val="none"/>
          <w14:textFill>
            <w14:solidFill>
              <w14:schemeClr w14:val="tx1"/>
            </w14:solidFill>
          </w14:textFill>
        </w:rPr>
        <w:instrText xml:space="preserve"> HYPERLINK "https://www.chemsrc.com/baike/1154223.html" \t "_blank" </w:instrText>
      </w:r>
      <w:r>
        <w:rPr>
          <w:rFonts w:hint="eastAsia" w:ascii="仿宋" w:hAnsi="仿宋" w:eastAsia="仿宋" w:cs="仿宋"/>
          <w:color w:val="000000" w:themeColor="text1"/>
          <w:sz w:val="32"/>
          <w:szCs w:val="32"/>
          <w:highlight w:val="none"/>
          <w14:textFill>
            <w14:solidFill>
              <w14:schemeClr w14:val="tx1"/>
            </w14:solidFill>
          </w14:textFill>
        </w:rPr>
        <w:fldChar w:fldCharType="separate"/>
      </w:r>
      <w:r>
        <w:rPr>
          <w:rFonts w:hint="eastAsia" w:ascii="仿宋" w:hAnsi="仿宋" w:eastAsia="仿宋" w:cs="仿宋"/>
          <w:color w:val="000000" w:themeColor="text1"/>
          <w:sz w:val="32"/>
          <w:szCs w:val="32"/>
          <w:highlight w:val="none"/>
          <w:shd w:val="clear" w:color="auto" w:fill="auto"/>
          <w14:textFill>
            <w14:solidFill>
              <w14:schemeClr w14:val="tx1"/>
            </w14:solidFill>
          </w14:textFill>
        </w:rPr>
        <w:t>117-81-7</w:t>
      </w:r>
      <w:r>
        <w:rPr>
          <w:rFonts w:hint="eastAsia" w:ascii="仿宋" w:hAnsi="仿宋" w:eastAsia="仿宋" w:cs="仿宋"/>
          <w:color w:val="000000" w:themeColor="text1"/>
          <w:sz w:val="32"/>
          <w:szCs w:val="32"/>
          <w:highlight w:val="none"/>
          <w14:textFill>
            <w14:solidFill>
              <w14:schemeClr w14:val="tx1"/>
            </w14:solidFill>
          </w14:textFill>
        </w:rPr>
        <w:fldChar w:fldCharType="end"/>
      </w:r>
      <w:r>
        <w:rPr>
          <w:rFonts w:hint="eastAsia" w:ascii="仿宋" w:hAnsi="仿宋" w:eastAsia="仿宋" w:cs="仿宋"/>
          <w:color w:val="000000" w:themeColor="text1"/>
          <w:sz w:val="32"/>
          <w:szCs w:val="32"/>
          <w:highlight w:val="none"/>
          <w14:textFill>
            <w14:solidFill>
              <w14:schemeClr w14:val="tx1"/>
            </w14:solidFill>
          </w14:textFill>
        </w:rPr>
        <w:t>)、邻苯二甲酸丁基苄基酯(BBP)(CAS号：</w:t>
      </w:r>
      <w:r>
        <w:rPr>
          <w:rFonts w:hint="eastAsia" w:ascii="仿宋" w:hAnsi="仿宋" w:eastAsia="仿宋" w:cs="仿宋"/>
          <w:color w:val="000000" w:themeColor="text1"/>
          <w:sz w:val="32"/>
          <w:szCs w:val="32"/>
          <w:highlight w:val="none"/>
          <w14:textFill>
            <w14:solidFill>
              <w14:schemeClr w14:val="tx1"/>
            </w14:solidFill>
          </w14:textFill>
        </w:rPr>
        <w:fldChar w:fldCharType="begin"/>
      </w:r>
      <w:r>
        <w:rPr>
          <w:rFonts w:hint="eastAsia" w:ascii="仿宋" w:hAnsi="仿宋" w:eastAsia="仿宋" w:cs="仿宋"/>
          <w:color w:val="000000" w:themeColor="text1"/>
          <w:sz w:val="32"/>
          <w:szCs w:val="32"/>
          <w:highlight w:val="none"/>
          <w14:textFill>
            <w14:solidFill>
              <w14:schemeClr w14:val="tx1"/>
            </w14:solidFill>
          </w14:textFill>
        </w:rPr>
        <w:instrText xml:space="preserve"> HYPERLINK "https://www.chemsrc.com/baike/238313.html" \t "_blank" </w:instrText>
      </w:r>
      <w:r>
        <w:rPr>
          <w:rFonts w:hint="eastAsia" w:ascii="仿宋" w:hAnsi="仿宋" w:eastAsia="仿宋" w:cs="仿宋"/>
          <w:color w:val="000000" w:themeColor="text1"/>
          <w:sz w:val="32"/>
          <w:szCs w:val="32"/>
          <w:highlight w:val="none"/>
          <w14:textFill>
            <w14:solidFill>
              <w14:schemeClr w14:val="tx1"/>
            </w14:solidFill>
          </w14:textFill>
        </w:rPr>
        <w:fldChar w:fldCharType="separate"/>
      </w:r>
      <w:r>
        <w:rPr>
          <w:rFonts w:hint="eastAsia" w:ascii="仿宋" w:hAnsi="仿宋" w:eastAsia="仿宋" w:cs="仿宋"/>
          <w:color w:val="000000" w:themeColor="text1"/>
          <w:sz w:val="32"/>
          <w:szCs w:val="32"/>
          <w:highlight w:val="none"/>
          <w:shd w:val="clear" w:color="auto" w:fill="auto"/>
          <w14:textFill>
            <w14:solidFill>
              <w14:schemeClr w14:val="tx1"/>
            </w14:solidFill>
          </w14:textFill>
        </w:rPr>
        <w:t>85-68-7</w:t>
      </w:r>
      <w:r>
        <w:rPr>
          <w:rFonts w:hint="eastAsia" w:ascii="仿宋" w:hAnsi="仿宋" w:eastAsia="仿宋" w:cs="仿宋"/>
          <w:color w:val="000000" w:themeColor="text1"/>
          <w:sz w:val="32"/>
          <w:szCs w:val="32"/>
          <w:highlight w:val="none"/>
          <w:shd w:val="clear" w:color="auto" w:fill="auto"/>
          <w14:textFill>
            <w14:solidFill>
              <w14:schemeClr w14:val="tx1"/>
            </w14:solidFill>
          </w14:textFill>
        </w:rPr>
        <w:fldChar w:fldCharType="end"/>
      </w:r>
      <w:r>
        <w:rPr>
          <w:rFonts w:hint="eastAsia" w:ascii="仿宋" w:hAnsi="仿宋" w:eastAsia="仿宋" w:cs="仿宋"/>
          <w:color w:val="000000" w:themeColor="text1"/>
          <w:sz w:val="32"/>
          <w:szCs w:val="32"/>
          <w:highlight w:val="none"/>
          <w14:textFill>
            <w14:solidFill>
              <w14:schemeClr w14:val="tx1"/>
            </w14:solidFill>
          </w14:textFill>
        </w:rPr>
        <w:t>)、邻苯二甲酸二丁酯(DBP)的增塑剂（CAS号：84-74-2）。</w:t>
      </w:r>
    </w:p>
    <w:p>
      <w:pPr>
        <w:spacing w:after="156" w:afterLines="50" w:line="360" w:lineRule="auto"/>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合规性验证方式：查验数据中心提供的第三方认证证书。</w:t>
      </w:r>
    </w:p>
    <w:p>
      <w:pPr>
        <w:pStyle w:val="15"/>
        <w:spacing w:after="156" w:afterLines="50" w:line="360" w:lineRule="auto"/>
        <w:ind w:left="0" w:right="0" w:firstLine="0" w:firstLineChars="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.1.7 任何设备、产品或部件中禁止使用或添加多溴联苯、多氯联苯、多溴二苯醚、六溴环十二烷（HBCDD）、短链氯化石蜡（SCCPs）、全氟辛基磺酸及其盐类等持久性有机污染物。</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合规性验证方式：查验数据中心提供的第三方认证证书。</w:t>
      </w:r>
    </w:p>
    <w:p>
      <w:pPr>
        <w:pStyle w:val="15"/>
        <w:spacing w:after="156" w:afterLines="50" w:line="360" w:lineRule="auto"/>
        <w:ind w:left="0" w:right="0" w:firstLine="0" w:firstLineChars="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.1.8质量大于 25g 的塑料部件不得添加含有磷酸三(2-氯乙基)酯（TCEP）（CAS号：115-96-8）、磷酸三(2-氯丙基)酯（TCPP）（CAS号：13674-84-5）、磷酸三(2,3-二氯丙基)酯（TDCP）（CAS号：78-43-3）的阻燃剂。</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合规性验证方式：查验数据中心提供的第三方认证证书。</w:t>
      </w:r>
    </w:p>
    <w:p>
      <w:pPr>
        <w:pStyle w:val="15"/>
        <w:spacing w:after="156" w:afterLines="50" w:line="360" w:lineRule="auto"/>
        <w:ind w:left="0" w:right="0" w:firstLine="0" w:firstLineChars="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.1.9 产品零件中不使用三丁基锡（TBT）和三苯基锡（TPT）。</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合规性验证方式：查验数据中心提供的第三方认证证书。</w:t>
      </w:r>
    </w:p>
    <w:p>
      <w:pPr>
        <w:pStyle w:val="15"/>
        <w:spacing w:after="156" w:afterLines="50" w:line="360" w:lineRule="auto"/>
        <w:ind w:left="0" w:right="0" w:firstLine="0" w:firstLineChars="0"/>
        <w:rPr>
          <w:rFonts w:hint="eastAsia" w:ascii="仿宋" w:hAnsi="仿宋" w:eastAsia="仿宋" w:cs="仿宋"/>
          <w:color w:val="000000" w:themeColor="text1"/>
          <w:kern w:val="0"/>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.1.10 产品中电池的重金属限值应符合</w:t>
      </w:r>
      <w:r>
        <w:rPr>
          <w:rFonts w:hint="eastAsia" w:ascii="仿宋" w:hAnsi="仿宋" w:eastAsia="仿宋" w:cs="仿宋"/>
          <w:color w:val="000000" w:themeColor="text1"/>
          <w:kern w:val="0"/>
          <w:sz w:val="32"/>
          <w:szCs w:val="32"/>
          <w:highlight w:val="none"/>
          <w14:textFill>
            <w14:solidFill>
              <w14:schemeClr w14:val="tx1"/>
            </w14:solidFill>
          </w14:textFill>
        </w:rPr>
        <w:t>如下要求：汞(Hg)含量不超过1mg/kg，镉(Cd) 含量不超过20 mg/kg，铅（Pb）含量不超过40 mg/kg。</w:t>
      </w:r>
    </w:p>
    <w:p>
      <w:pPr>
        <w:spacing w:after="156" w:afterLines="50" w:line="360" w:lineRule="auto"/>
        <w:rPr>
          <w:rFonts w:hint="eastAsia" w:ascii="仿宋" w:hAnsi="仿宋" w:eastAsia="仿宋" w:cs="仿宋"/>
          <w:color w:val="000000" w:themeColor="text1"/>
          <w:kern w:val="0"/>
          <w:sz w:val="32"/>
          <w:szCs w:val="32"/>
          <w:highlight w:val="none"/>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合规性验证方式：查验数据中心提供的第三方检测报告或第三方认证证书。</w:t>
      </w:r>
    </w:p>
    <w:p>
      <w:pPr>
        <w:pStyle w:val="15"/>
        <w:spacing w:after="156" w:afterLines="50" w:line="360" w:lineRule="auto"/>
        <w:ind w:left="0" w:right="0" w:firstLine="0" w:firstLineChars="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 xml:space="preserve">.1.11 </w:t>
      </w:r>
      <w:r>
        <w:rPr>
          <w:rFonts w:hint="eastAsia" w:ascii="仿宋" w:hAnsi="仿宋" w:eastAsia="仿宋" w:cs="仿宋"/>
          <w:color w:val="000000" w:themeColor="text1"/>
          <w:sz w:val="32"/>
          <w:szCs w:val="32"/>
          <w:highlight w:val="none"/>
          <w:lang w:val="en-US" w:eastAsia="zh-CN"/>
          <w14:textFill>
            <w14:solidFill>
              <w14:schemeClr w14:val="tx1"/>
            </w14:solidFill>
          </w14:textFill>
        </w:rPr>
        <w:t>除</w:t>
      </w:r>
      <w:r>
        <w:rPr>
          <w:rFonts w:hint="eastAsia" w:ascii="仿宋" w:hAnsi="仿宋" w:eastAsia="仿宋" w:cs="仿宋"/>
          <w:color w:val="000000" w:themeColor="text1"/>
          <w:sz w:val="32"/>
          <w:szCs w:val="32"/>
          <w:highlight w:val="none"/>
          <w14:textFill>
            <w14:solidFill>
              <w14:schemeClr w14:val="tx1"/>
            </w14:solidFill>
          </w14:textFill>
        </w:rPr>
        <w:t>附录B</w:t>
      </w:r>
      <w:r>
        <w:rPr>
          <w:rFonts w:hint="eastAsia" w:ascii="仿宋" w:hAnsi="仿宋" w:eastAsia="仿宋" w:cs="仿宋"/>
          <w:color w:val="000000" w:themeColor="text1"/>
          <w:sz w:val="32"/>
          <w:szCs w:val="32"/>
          <w:highlight w:val="none"/>
          <w:lang w:val="en-US" w:eastAsia="zh-CN"/>
          <w14:textFill>
            <w14:solidFill>
              <w14:schemeClr w14:val="tx1"/>
            </w14:solidFill>
          </w14:textFill>
        </w:rPr>
        <w:t>规定的豁免情况外</w:t>
      </w:r>
      <w:r>
        <w:rPr>
          <w:rFonts w:hint="eastAsia" w:ascii="仿宋" w:hAnsi="仿宋" w:eastAsia="仿宋" w:cs="仿宋"/>
          <w:sz w:val="32"/>
          <w:szCs w:val="32"/>
          <w:highlight w:val="none"/>
          <w:lang w:val="en-US" w:eastAsia="zh-CN"/>
        </w:rPr>
        <w:t>，</w:t>
      </w:r>
      <w:r>
        <w:rPr>
          <w:rFonts w:hint="eastAsia" w:ascii="仿宋" w:hAnsi="仿宋" w:eastAsia="仿宋" w:cs="仿宋"/>
          <w:color w:val="000000" w:themeColor="text1"/>
          <w:sz w:val="32"/>
          <w:szCs w:val="32"/>
          <w:highlight w:val="none"/>
          <w14:textFill>
            <w14:solidFill>
              <w14:schemeClr w14:val="tx1"/>
            </w14:solidFill>
          </w14:textFill>
        </w:rPr>
        <w:t>数据中心各类信息设备中的铅（Pb）、 汞（Hg）、 镉（Cd）、 六价铬（Cr（VI））的含量应符合 GB/T 26572 的要求。</w:t>
      </w:r>
    </w:p>
    <w:p>
      <w:pPr>
        <w:spacing w:after="156" w:afterLines="50" w:line="360" w:lineRule="auto"/>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i/>
          <w:iCs/>
          <w:color w:val="000000" w:themeColor="text1"/>
          <w:kern w:val="0"/>
          <w:sz w:val="32"/>
          <w:szCs w:val="32"/>
          <w:highlight w:val="none"/>
          <w14:textFill>
            <w14:solidFill>
              <w14:schemeClr w14:val="tx1"/>
            </w14:solidFill>
          </w14:textFill>
        </w:rPr>
      </w:pPr>
      <w:r>
        <w:rPr>
          <w:rFonts w:hint="eastAsia" w:ascii="仿宋" w:hAnsi="仿宋" w:eastAsia="仿宋" w:cs="仿宋"/>
          <w:i w:val="0"/>
          <w:iCs w:val="0"/>
          <w:color w:val="000000" w:themeColor="text1"/>
          <w:kern w:val="2"/>
          <w:sz w:val="32"/>
          <w:szCs w:val="32"/>
          <w:highlight w:val="none"/>
          <w:lang w:val="en-US" w:eastAsia="zh-CN"/>
          <w14:textFill>
            <w14:solidFill>
              <w14:schemeClr w14:val="tx1"/>
            </w14:solidFill>
          </w14:textFill>
        </w:rPr>
        <w:t>6</w:t>
      </w:r>
      <w:r>
        <w:rPr>
          <w:rFonts w:hint="eastAsia" w:ascii="仿宋" w:hAnsi="仿宋" w:eastAsia="仿宋" w:cs="仿宋"/>
          <w:i w:val="0"/>
          <w:iCs w:val="0"/>
          <w:color w:val="000000" w:themeColor="text1"/>
          <w:kern w:val="2"/>
          <w:sz w:val="32"/>
          <w:szCs w:val="32"/>
          <w:highlight w:val="none"/>
          <w14:textFill>
            <w14:solidFill>
              <w14:schemeClr w14:val="tx1"/>
            </w14:solidFill>
          </w14:textFill>
        </w:rPr>
        <w:t>.1.12 数据中心各类信息设备</w:t>
      </w:r>
      <w:r>
        <w:rPr>
          <w:rFonts w:hint="eastAsia" w:ascii="仿宋" w:hAnsi="仿宋" w:eastAsia="仿宋" w:cs="仿宋"/>
          <w:color w:val="000000" w:themeColor="text1"/>
          <w:sz w:val="32"/>
          <w:szCs w:val="32"/>
          <w:highlight w:val="none"/>
          <w14:textFill>
            <w14:solidFill>
              <w14:schemeClr w14:val="tx1"/>
            </w14:solidFill>
          </w14:textFill>
        </w:rPr>
        <w:t>应</w:t>
      </w:r>
      <w:r>
        <w:rPr>
          <w:rFonts w:hint="eastAsia" w:ascii="仿宋" w:hAnsi="仿宋" w:eastAsia="仿宋" w:cs="仿宋"/>
          <w:color w:val="000000" w:themeColor="text1"/>
          <w:sz w:val="32"/>
          <w:szCs w:val="32"/>
          <w:highlight w:val="none"/>
          <w:lang w:val="en-US" w:eastAsia="zh-CN"/>
          <w14:textFill>
            <w14:solidFill>
              <w14:schemeClr w14:val="tx1"/>
            </w14:solidFill>
          </w14:textFill>
        </w:rPr>
        <w:t>满足</w:t>
      </w:r>
      <w:r>
        <w:rPr>
          <w:rFonts w:hint="eastAsia" w:ascii="仿宋" w:hAnsi="仿宋" w:eastAsia="仿宋" w:cs="仿宋"/>
          <w:color w:val="000000" w:themeColor="text1"/>
          <w:sz w:val="32"/>
          <w:szCs w:val="32"/>
          <w:highlight w:val="none"/>
          <w14:textFill>
            <w14:solidFill>
              <w14:schemeClr w14:val="tx1"/>
            </w14:solidFill>
          </w14:textFill>
        </w:rPr>
        <w:t>国家</w:t>
      </w:r>
      <w:r>
        <w:rPr>
          <w:rFonts w:hint="eastAsia" w:ascii="仿宋" w:hAnsi="仿宋" w:eastAsia="仿宋" w:cs="仿宋"/>
          <w:color w:val="000000" w:themeColor="text1"/>
          <w:sz w:val="32"/>
          <w:szCs w:val="32"/>
          <w:highlight w:val="none"/>
          <w:lang w:eastAsia="zh-CN"/>
          <w14:textFill>
            <w14:solidFill>
              <w14:schemeClr w14:val="tx1"/>
            </w14:solidFill>
          </w14:textFill>
        </w:rPr>
        <w:t>关于</w:t>
      </w:r>
      <w:r>
        <w:rPr>
          <w:rFonts w:hint="eastAsia" w:ascii="仿宋" w:hAnsi="仿宋" w:eastAsia="仿宋" w:cs="仿宋"/>
          <w:color w:val="000000" w:themeColor="text1"/>
          <w:sz w:val="32"/>
          <w:szCs w:val="32"/>
          <w:highlight w:val="none"/>
          <w14:textFill>
            <w14:solidFill>
              <w14:schemeClr w14:val="tx1"/>
            </w14:solidFill>
          </w14:textFill>
        </w:rPr>
        <w:t>重点管控新污染物</w:t>
      </w:r>
      <w:r>
        <w:rPr>
          <w:rFonts w:hint="eastAsia" w:ascii="仿宋" w:hAnsi="仿宋" w:eastAsia="仿宋" w:cs="仿宋"/>
          <w:color w:val="000000" w:themeColor="text1"/>
          <w:sz w:val="32"/>
          <w:szCs w:val="32"/>
          <w:highlight w:val="none"/>
          <w:lang w:val="en-US" w:eastAsia="zh-CN"/>
          <w14:textFill>
            <w14:solidFill>
              <w14:schemeClr w14:val="tx1"/>
            </w14:solidFill>
          </w14:textFill>
        </w:rPr>
        <w:t>含量</w:t>
      </w:r>
      <w:r>
        <w:rPr>
          <w:rFonts w:hint="eastAsia" w:ascii="仿宋" w:hAnsi="仿宋" w:eastAsia="仿宋" w:cs="仿宋"/>
          <w:color w:val="000000" w:themeColor="text1"/>
          <w:sz w:val="32"/>
          <w:szCs w:val="32"/>
          <w:highlight w:val="none"/>
          <w14:textFill>
            <w14:solidFill>
              <w14:schemeClr w14:val="tx1"/>
            </w14:solidFill>
          </w14:textFill>
        </w:rPr>
        <w:t>控制要求</w:t>
      </w:r>
      <w:r>
        <w:rPr>
          <w:rFonts w:hint="eastAsia" w:ascii="仿宋" w:hAnsi="仿宋" w:eastAsia="仿宋" w:cs="仿宋"/>
          <w:i w:val="0"/>
          <w:iCs w:val="0"/>
          <w:color w:val="000000" w:themeColor="text1"/>
          <w:kern w:val="2"/>
          <w:sz w:val="32"/>
          <w:szCs w:val="32"/>
          <w:highlight w:val="none"/>
          <w14:textFill>
            <w14:solidFill>
              <w14:schemeClr w14:val="tx1"/>
            </w14:solidFill>
          </w14:textFill>
        </w:rPr>
        <w:t>。</w:t>
      </w:r>
    </w:p>
    <w:p>
      <w:pPr>
        <w:spacing w:after="156" w:afterLines="50" w:line="360" w:lineRule="auto"/>
        <w:rPr>
          <w:rFonts w:hint="eastAsia" w:ascii="仿宋" w:hAnsi="仿宋" w:eastAsia="仿宋" w:cs="仿宋"/>
          <w:i/>
          <w:iCs/>
          <w:color w:val="000000" w:themeColor="text1"/>
          <w:kern w:val="0"/>
          <w:sz w:val="32"/>
          <w:szCs w:val="32"/>
          <w:highlight w:val="none"/>
          <w:u w:val="none"/>
          <w:lang w:val="en-US" w:eastAsia="zh-CN"/>
          <w14:textFill>
            <w14:solidFill>
              <w14:schemeClr w14:val="tx1"/>
            </w14:solidFill>
          </w14:textFill>
        </w:rPr>
      </w:pPr>
      <w:r>
        <w:rPr>
          <w:rFonts w:hint="eastAsia" w:ascii="仿宋" w:hAnsi="仿宋" w:eastAsia="仿宋" w:cs="仿宋"/>
          <w:i/>
          <w:iCs/>
          <w:color w:val="000000" w:themeColor="text1"/>
          <w:kern w:val="0"/>
          <w:sz w:val="32"/>
          <w:szCs w:val="32"/>
          <w:highlight w:val="none"/>
          <w:u w:val="none"/>
          <w:lang w:eastAsia="zh-CN"/>
          <w14:textFill>
            <w14:solidFill>
              <w14:schemeClr w14:val="tx1"/>
            </w14:solidFill>
          </w14:textFill>
        </w:rPr>
        <w:t>合规性验证方式</w:t>
      </w:r>
      <w:r>
        <w:rPr>
          <w:rFonts w:hint="eastAsia" w:ascii="仿宋" w:hAnsi="仿宋" w:eastAsia="仿宋" w:cs="仿宋"/>
          <w:i/>
          <w:iCs/>
          <w:color w:val="000000" w:themeColor="text1"/>
          <w:kern w:val="0"/>
          <w:sz w:val="32"/>
          <w:szCs w:val="32"/>
          <w:highlight w:val="none"/>
          <w:u w:val="none"/>
          <w14:textFill>
            <w14:solidFill>
              <w14:schemeClr w14:val="tx1"/>
            </w14:solidFill>
          </w14:textFill>
        </w:rPr>
        <w:t>：查验数据中心</w:t>
      </w:r>
      <w:r>
        <w:rPr>
          <w:rFonts w:hint="eastAsia" w:ascii="仿宋" w:hAnsi="仿宋" w:eastAsia="仿宋" w:cs="仿宋"/>
          <w:i/>
          <w:iCs/>
          <w:color w:val="000000" w:themeColor="text1"/>
          <w:kern w:val="0"/>
          <w:sz w:val="32"/>
          <w:szCs w:val="32"/>
          <w:highlight w:val="none"/>
          <w:u w:val="none"/>
          <w:lang w:eastAsia="zh-CN"/>
          <w14:textFill>
            <w14:solidFill>
              <w14:schemeClr w14:val="tx1"/>
            </w14:solidFill>
          </w14:textFill>
        </w:rPr>
        <w:t>提供的</w:t>
      </w:r>
      <w:r>
        <w:rPr>
          <w:rFonts w:hint="eastAsia" w:ascii="仿宋" w:hAnsi="仿宋" w:eastAsia="仿宋" w:cs="仿宋"/>
          <w:i/>
          <w:iCs/>
          <w:color w:val="000000" w:themeColor="text1"/>
          <w:kern w:val="0"/>
          <w:sz w:val="32"/>
          <w:szCs w:val="32"/>
          <w:highlight w:val="none"/>
          <w:u w:val="none"/>
          <w14:textFill>
            <w14:solidFill>
              <w14:schemeClr w14:val="tx1"/>
            </w14:solidFill>
          </w14:textFill>
        </w:rPr>
        <w:t>第三方认证证书。</w:t>
      </w:r>
    </w:p>
    <w:bookmarkEnd w:id="4"/>
    <w:p>
      <w:pPr>
        <w:spacing w:after="156" w:afterLines="50" w:line="360" w:lineRule="auto"/>
        <w:rPr>
          <w:rFonts w:hint="eastAsia" w:ascii="仿宋" w:hAnsi="仿宋" w:eastAsia="仿宋" w:cs="仿宋"/>
          <w:color w:val="000000" w:themeColor="text1"/>
          <w:kern w:val="0"/>
          <w:sz w:val="32"/>
          <w:szCs w:val="32"/>
          <w:highlight w:val="none"/>
          <w14:textFill>
            <w14:solidFill>
              <w14:schemeClr w14:val="tx1"/>
            </w14:solidFill>
          </w14:textFill>
        </w:rPr>
      </w:pPr>
      <w:r>
        <w:rPr>
          <w:rFonts w:hint="eastAsia" w:ascii="仿宋" w:hAnsi="仿宋" w:eastAsia="仿宋" w:cs="仿宋"/>
          <w:color w:val="000000" w:themeColor="text1"/>
          <w:kern w:val="0"/>
          <w:sz w:val="32"/>
          <w:szCs w:val="32"/>
          <w:highlight w:val="none"/>
          <w:lang w:val="en-US" w:eastAsia="zh-CN"/>
          <w14:textFill>
            <w14:solidFill>
              <w14:schemeClr w14:val="tx1"/>
            </w14:solidFill>
          </w14:textFill>
        </w:rPr>
        <w:t>6</w:t>
      </w:r>
      <w:r>
        <w:rPr>
          <w:rFonts w:hint="eastAsia" w:ascii="仿宋" w:hAnsi="仿宋" w:eastAsia="仿宋" w:cs="仿宋"/>
          <w:color w:val="000000" w:themeColor="text1"/>
          <w:kern w:val="0"/>
          <w:sz w:val="32"/>
          <w:szCs w:val="32"/>
          <w:highlight w:val="none"/>
          <w14:textFill>
            <w14:solidFill>
              <w14:schemeClr w14:val="tx1"/>
            </w14:solidFill>
          </w14:textFill>
        </w:rPr>
        <w:t>.2 设备特性要求</w:t>
      </w:r>
    </w:p>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.2.1 服务器及存储设备应满足表2的要求。</w:t>
      </w:r>
    </w:p>
    <w:p>
      <w:pPr>
        <w:spacing w:after="156" w:afterLines="50" w:line="360" w:lineRule="auto"/>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表2  服务器及存储设备技术指标要求</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26"/>
        <w:gridCol w:w="1689"/>
        <w:gridCol w:w="1269"/>
        <w:gridCol w:w="1687"/>
        <w:gridCol w:w="2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7" w:type="dxa"/>
            <w:shd w:val="clear" w:color="auto" w:fill="auto"/>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3384" w:type="dxa"/>
            <w:gridSpan w:val="3"/>
            <w:shd w:val="clear" w:color="auto" w:fill="D8D8D8"/>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指标</w:t>
            </w:r>
          </w:p>
        </w:tc>
        <w:tc>
          <w:tcPr>
            <w:tcW w:w="1687" w:type="dxa"/>
            <w:shd w:val="clear" w:color="auto" w:fill="D8D8D8"/>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限制值</w:t>
            </w:r>
          </w:p>
        </w:tc>
        <w:tc>
          <w:tcPr>
            <w:tcW w:w="2808" w:type="dxa"/>
            <w:shd w:val="clear" w:color="auto" w:fill="D8D8D8"/>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trPr>
        <w:tc>
          <w:tcPr>
            <w:tcW w:w="417" w:type="dxa"/>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p>
        </w:tc>
        <w:tc>
          <w:tcPr>
            <w:tcW w:w="3384" w:type="dxa"/>
            <w:gridSpan w:val="3"/>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产品可再生利用率</w:t>
            </w:r>
          </w:p>
        </w:tc>
        <w:tc>
          <w:tcPr>
            <w:tcW w:w="1687"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≥80%</w:t>
            </w:r>
          </w:p>
        </w:tc>
        <w:tc>
          <w:tcPr>
            <w:tcW w:w="2808" w:type="dxa"/>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根据</w:t>
            </w:r>
            <w:r>
              <w:rPr>
                <w:rFonts w:hint="eastAsia" w:ascii="仿宋" w:hAnsi="仿宋" w:eastAsia="仿宋" w:cs="仿宋"/>
                <w:color w:val="000000" w:themeColor="text1"/>
                <w:kern w:val="0"/>
                <w:sz w:val="24"/>
                <w:szCs w:val="24"/>
                <w:highlight w:val="none"/>
                <w14:textFill>
                  <w14:solidFill>
                    <w14:schemeClr w14:val="tx1"/>
                  </w14:solidFill>
                </w14:textFill>
              </w:rPr>
              <w:t>GB/T 32355.2及附录C要求</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进行判定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417" w:type="dxa"/>
            <w:vMerge w:val="restart"/>
            <w:shd w:val="clear" w:color="auto" w:fill="auto"/>
            <w:vAlign w:val="center"/>
          </w:tcPr>
          <w:p>
            <w:pPr>
              <w:spacing w:line="360" w:lineRule="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p>
        </w:tc>
        <w:tc>
          <w:tcPr>
            <w:tcW w:w="426" w:type="dxa"/>
            <w:vMerge w:val="restart"/>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供电模块效率</w:t>
            </w:r>
          </w:p>
        </w:tc>
        <w:tc>
          <w:tcPr>
            <w:tcW w:w="1689" w:type="dxa"/>
            <w:vMerge w:val="restart"/>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20%</w:t>
            </w:r>
            <w:r>
              <w:rPr>
                <w:rFonts w:hint="eastAsia" w:ascii="仿宋" w:hAnsi="仿宋" w:eastAsia="仿宋" w:cs="仿宋"/>
                <w:color w:val="000000" w:themeColor="text1"/>
                <w:kern w:val="0"/>
                <w:sz w:val="24"/>
                <w:szCs w:val="24"/>
                <w:highlight w:val="none"/>
                <w14:textFill>
                  <w14:solidFill>
                    <w14:schemeClr w14:val="tx1"/>
                  </w14:solidFill>
                </w14:textFill>
              </w:rPr>
              <w:t>负载率</w:t>
            </w:r>
          </w:p>
        </w:tc>
        <w:tc>
          <w:tcPr>
            <w:tcW w:w="1269" w:type="dxa"/>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电源效率</w:t>
            </w:r>
          </w:p>
        </w:tc>
        <w:tc>
          <w:tcPr>
            <w:tcW w:w="1687"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≥90%</w:t>
            </w:r>
          </w:p>
        </w:tc>
        <w:tc>
          <w:tcPr>
            <w:tcW w:w="2808" w:type="dxa"/>
            <w:vMerge w:val="restart"/>
            <w:shd w:val="clear" w:color="auto" w:fill="auto"/>
            <w:vAlign w:val="center"/>
          </w:tcPr>
          <w:p>
            <w:pPr>
              <w:spacing w:line="360" w:lineRule="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检测方法</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按照</w:t>
            </w:r>
            <w:r>
              <w:rPr>
                <w:rFonts w:hint="eastAsia" w:ascii="仿宋" w:hAnsi="仿宋" w:eastAsia="仿宋" w:cs="仿宋"/>
                <w:color w:val="000000" w:themeColor="text1"/>
                <w:kern w:val="0"/>
                <w:sz w:val="24"/>
                <w:szCs w:val="24"/>
                <w:highlight w:val="none"/>
                <w14:textFill>
                  <w14:solidFill>
                    <w14:schemeClr w14:val="tx1"/>
                  </w14:solidFill>
                </w14:textFill>
              </w:rPr>
              <w:t>HJ 2507附录B要求</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417"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426"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689"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功率因数（PF）</w:t>
            </w:r>
          </w:p>
        </w:tc>
        <w:tc>
          <w:tcPr>
            <w:tcW w:w="1687"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≥0.95</w:t>
            </w:r>
          </w:p>
        </w:tc>
        <w:tc>
          <w:tcPr>
            <w:tcW w:w="2808"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417"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426"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689" w:type="dxa"/>
            <w:vMerge w:val="restart"/>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50%</w:t>
            </w:r>
            <w:r>
              <w:rPr>
                <w:rFonts w:hint="eastAsia" w:ascii="仿宋" w:hAnsi="仿宋" w:eastAsia="仿宋" w:cs="仿宋"/>
                <w:color w:val="000000" w:themeColor="text1"/>
                <w:kern w:val="0"/>
                <w:sz w:val="24"/>
                <w:szCs w:val="24"/>
                <w:highlight w:val="none"/>
                <w14:textFill>
                  <w14:solidFill>
                    <w14:schemeClr w14:val="tx1"/>
                  </w14:solidFill>
                </w14:textFill>
              </w:rPr>
              <w:t>负载率</w:t>
            </w:r>
          </w:p>
        </w:tc>
        <w:tc>
          <w:tcPr>
            <w:tcW w:w="1269" w:type="dxa"/>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电源效率</w:t>
            </w:r>
          </w:p>
        </w:tc>
        <w:tc>
          <w:tcPr>
            <w:tcW w:w="1687"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≥94%</w:t>
            </w:r>
          </w:p>
        </w:tc>
        <w:tc>
          <w:tcPr>
            <w:tcW w:w="2808"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417"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426"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689"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功率因数（PF）</w:t>
            </w:r>
          </w:p>
        </w:tc>
        <w:tc>
          <w:tcPr>
            <w:tcW w:w="1687"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≥0.95</w:t>
            </w:r>
          </w:p>
        </w:tc>
        <w:tc>
          <w:tcPr>
            <w:tcW w:w="2808"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417"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426"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689" w:type="dxa"/>
            <w:vMerge w:val="restart"/>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100%</w:t>
            </w:r>
            <w:r>
              <w:rPr>
                <w:rFonts w:hint="eastAsia" w:ascii="仿宋" w:hAnsi="仿宋" w:eastAsia="仿宋" w:cs="仿宋"/>
                <w:color w:val="000000" w:themeColor="text1"/>
                <w:kern w:val="0"/>
                <w:sz w:val="24"/>
                <w:szCs w:val="24"/>
                <w:highlight w:val="none"/>
                <w14:textFill>
                  <w14:solidFill>
                    <w14:schemeClr w14:val="tx1"/>
                  </w14:solidFill>
                </w14:textFill>
              </w:rPr>
              <w:t>负载率</w:t>
            </w:r>
          </w:p>
        </w:tc>
        <w:tc>
          <w:tcPr>
            <w:tcW w:w="1269" w:type="dxa"/>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电源效率</w:t>
            </w:r>
          </w:p>
        </w:tc>
        <w:tc>
          <w:tcPr>
            <w:tcW w:w="1687"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≥91%</w:t>
            </w:r>
          </w:p>
        </w:tc>
        <w:tc>
          <w:tcPr>
            <w:tcW w:w="2808"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417"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426"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689"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功率因数（PF）</w:t>
            </w:r>
          </w:p>
        </w:tc>
        <w:tc>
          <w:tcPr>
            <w:tcW w:w="1687"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≥0.95</w:t>
            </w:r>
          </w:p>
        </w:tc>
        <w:tc>
          <w:tcPr>
            <w:tcW w:w="2808" w:type="dxa"/>
            <w:vMerge w:val="continue"/>
            <w:shd w:val="clear" w:color="auto" w:fill="auto"/>
            <w:vAlign w:val="center"/>
          </w:tcPr>
          <w:p>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r>
    </w:tbl>
    <w:p>
      <w:pPr>
        <w:spacing w:after="156" w:afterLines="50"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14:textFill>
            <w14:solidFill>
              <w14:schemeClr w14:val="tx1"/>
            </w14:solidFill>
          </w14:textFill>
        </w:rPr>
        <w:t>.2.2 微型计算机及显示器应满足表3</w:t>
      </w:r>
      <w:r>
        <w:rPr>
          <w:rFonts w:hint="eastAsia" w:ascii="仿宋" w:hAnsi="仿宋" w:eastAsia="仿宋" w:cs="仿宋"/>
          <w:color w:val="000000" w:themeColor="text1"/>
          <w:sz w:val="32"/>
          <w:szCs w:val="32"/>
          <w14:textFill>
            <w14:solidFill>
              <w14:schemeClr w14:val="tx1"/>
            </w14:solidFill>
          </w14:textFill>
        </w:rPr>
        <w:t>的要求。</w:t>
      </w:r>
    </w:p>
    <w:p>
      <w:pPr>
        <w:spacing w:after="156" w:afterLines="50" w:line="360" w:lineRule="auto"/>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表3 微型计算机及显示器技术指标要求</w:t>
      </w:r>
    </w:p>
    <w:tbl>
      <w:tblPr>
        <w:tblStyle w:val="8"/>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1632"/>
        <w:gridCol w:w="390"/>
        <w:gridCol w:w="1359"/>
        <w:gridCol w:w="1725"/>
        <w:gridCol w:w="2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3381" w:type="dxa"/>
            <w:gridSpan w:val="3"/>
            <w:shd w:val="clear" w:color="auto" w:fill="D8D8D8"/>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指标</w:t>
            </w:r>
          </w:p>
        </w:tc>
        <w:tc>
          <w:tcPr>
            <w:tcW w:w="1725" w:type="dxa"/>
            <w:shd w:val="clear" w:color="auto" w:fill="D8D8D8"/>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限制值</w:t>
            </w:r>
          </w:p>
        </w:tc>
        <w:tc>
          <w:tcPr>
            <w:tcW w:w="2752" w:type="dxa"/>
            <w:shd w:val="clear" w:color="auto" w:fill="D8D8D8"/>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3381" w:type="dxa"/>
            <w:gridSpan w:val="3"/>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产品可再生利用率</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≥80%</w:t>
            </w:r>
          </w:p>
        </w:tc>
        <w:tc>
          <w:tcPr>
            <w:tcW w:w="2752" w:type="dxa"/>
            <w:shd w:val="clear" w:color="auto" w:fill="auto"/>
            <w:vAlign w:val="center"/>
          </w:tcPr>
          <w:p>
            <w:pPr>
              <w:spacing w:line="36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按GB/T 32355.2及附录C要求</w:t>
            </w:r>
            <w:r>
              <w:rPr>
                <w:rFonts w:hint="eastAsia" w:ascii="仿宋" w:hAnsi="仿宋" w:eastAsia="仿宋" w:cs="仿宋"/>
                <w:color w:val="000000" w:themeColor="text1"/>
                <w:kern w:val="0"/>
                <w:sz w:val="24"/>
                <w:szCs w:val="24"/>
                <w:lang w:eastAsia="zh-CN"/>
                <w14:textFill>
                  <w14:solidFill>
                    <w14:schemeClr w14:val="tx1"/>
                  </w14:solidFill>
                </w14:textFill>
              </w:rPr>
              <w:t>进行判定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3381" w:type="dxa"/>
            <w:gridSpan w:val="3"/>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消费后再生塑料、生物基塑料或两者组合的使用比例</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2752"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计算方法见附录</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1632"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产品外壳、各类按键以及外接电源线中</w:t>
            </w:r>
          </w:p>
        </w:tc>
        <w:tc>
          <w:tcPr>
            <w:tcW w:w="1749" w:type="dxa"/>
            <w:gridSpan w:val="2"/>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苯并（a）芘的总量</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 mg/kg</w:t>
            </w:r>
          </w:p>
        </w:tc>
        <w:tc>
          <w:tcPr>
            <w:tcW w:w="2752" w:type="dxa"/>
            <w:vMerge w:val="restart"/>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检测方法依据GB/T 29784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632"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749" w:type="dxa"/>
            <w:gridSpan w:val="2"/>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附录 A 中所列的15 项多环芳烃（PAHs）总和</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≤50mg/kg</w:t>
            </w:r>
          </w:p>
        </w:tc>
        <w:tc>
          <w:tcPr>
            <w:tcW w:w="2752" w:type="dxa"/>
            <w:vMerge w:val="continue"/>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w:t>
            </w:r>
          </w:p>
        </w:tc>
        <w:tc>
          <w:tcPr>
            <w:tcW w:w="3381" w:type="dxa"/>
            <w:gridSpan w:val="3"/>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计算机整机能效</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5" w:name="OLE_LINK2"/>
            <w:r>
              <w:rPr>
                <w:rFonts w:hint="eastAsia" w:ascii="仿宋" w:hAnsi="仿宋" w:eastAsia="仿宋" w:cs="仿宋"/>
                <w:color w:val="000000" w:themeColor="text1"/>
                <w:sz w:val="24"/>
                <w:szCs w:val="24"/>
                <w14:textFill>
                  <w14:solidFill>
                    <w14:schemeClr w14:val="tx1"/>
                  </w14:solidFill>
                </w14:textFill>
              </w:rPr>
              <w:t>2级及以上</w:t>
            </w:r>
            <w:bookmarkEnd w:id="5"/>
          </w:p>
        </w:tc>
        <w:tc>
          <w:tcPr>
            <w:tcW w:w="2752"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检测方法依据GB 28380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w:t>
            </w:r>
          </w:p>
        </w:tc>
        <w:tc>
          <w:tcPr>
            <w:tcW w:w="3381" w:type="dxa"/>
            <w:gridSpan w:val="3"/>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显示器能效</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2级及以上</w:t>
            </w:r>
          </w:p>
        </w:tc>
        <w:tc>
          <w:tcPr>
            <w:tcW w:w="2752"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检测方法依GB 21520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418"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w:t>
            </w:r>
          </w:p>
        </w:tc>
        <w:tc>
          <w:tcPr>
            <w:tcW w:w="2022" w:type="dxa"/>
            <w:gridSpan w:val="2"/>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台式微型计算机噪声</w:t>
            </w:r>
          </w:p>
        </w:tc>
        <w:tc>
          <w:tcPr>
            <w:tcW w:w="1359"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空闲状态</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≤40 dB(A)</w:t>
            </w:r>
          </w:p>
        </w:tc>
        <w:tc>
          <w:tcPr>
            <w:tcW w:w="2752" w:type="dxa"/>
            <w:vMerge w:val="restart"/>
            <w:shd w:val="clear" w:color="auto" w:fill="auto"/>
            <w:vAlign w:val="center"/>
          </w:tcPr>
          <w:p>
            <w:pPr>
              <w:spacing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检测方法依据GB/T 9813.1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41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2022" w:type="dxa"/>
            <w:gridSpan w:val="2"/>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359"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工作状态</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≤45dB(A)</w:t>
            </w:r>
          </w:p>
        </w:tc>
        <w:tc>
          <w:tcPr>
            <w:tcW w:w="2752"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w:t>
            </w:r>
          </w:p>
        </w:tc>
        <w:tc>
          <w:tcPr>
            <w:tcW w:w="2022" w:type="dxa"/>
            <w:gridSpan w:val="2"/>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便携式微型计算机噪声</w:t>
            </w:r>
          </w:p>
        </w:tc>
        <w:tc>
          <w:tcPr>
            <w:tcW w:w="1359"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空闲状态</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≤35 dB(A)</w:t>
            </w:r>
          </w:p>
        </w:tc>
        <w:tc>
          <w:tcPr>
            <w:tcW w:w="2752"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检测方法依据GB/T 9813.2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2022" w:type="dxa"/>
            <w:gridSpan w:val="2"/>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359"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工作状态</w:t>
            </w:r>
          </w:p>
        </w:tc>
        <w:tc>
          <w:tcPr>
            <w:tcW w:w="172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≤40 dB(A)</w:t>
            </w:r>
          </w:p>
        </w:tc>
        <w:tc>
          <w:tcPr>
            <w:tcW w:w="2752"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bl>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.2.3 以太网交换机应满足表4的要求。</w:t>
      </w:r>
    </w:p>
    <w:p>
      <w:pPr>
        <w:spacing w:after="156" w:afterLines="50" w:line="360" w:lineRule="auto"/>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表4 以太网交换机技术指标要求</w:t>
      </w:r>
    </w:p>
    <w:tbl>
      <w:tblPr>
        <w:tblStyle w:val="8"/>
        <w:tblW w:w="830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2190"/>
        <w:gridCol w:w="18"/>
        <w:gridCol w:w="1684"/>
        <w:gridCol w:w="1266"/>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sz w:val="24"/>
                <w:szCs w:val="24"/>
                <w14:textFill>
                  <w14:solidFill>
                    <w14:schemeClr w14:val="tx1"/>
                  </w14:solidFill>
                </w14:textFill>
              </w:rPr>
            </w:pPr>
          </w:p>
        </w:tc>
        <w:tc>
          <w:tcPr>
            <w:tcW w:w="3892" w:type="dxa"/>
            <w:gridSpan w:val="3"/>
            <w:shd w:val="clear" w:color="auto" w:fill="D8D8D8"/>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指标</w:t>
            </w:r>
          </w:p>
        </w:tc>
        <w:tc>
          <w:tcPr>
            <w:tcW w:w="1266" w:type="dxa"/>
            <w:shd w:val="clear" w:color="auto" w:fill="D8D8D8"/>
            <w:vAlign w:val="center"/>
          </w:tcPr>
          <w:p>
            <w:pPr>
              <w:pStyle w:val="15"/>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限制值</w:t>
            </w:r>
          </w:p>
        </w:tc>
        <w:tc>
          <w:tcPr>
            <w:tcW w:w="2672" w:type="dxa"/>
            <w:shd w:val="clear" w:color="auto" w:fill="D8D8D8"/>
            <w:vAlign w:val="center"/>
          </w:tcPr>
          <w:p>
            <w:pPr>
              <w:pStyle w:val="15"/>
              <w:spacing w:after="0" w:line="360" w:lineRule="auto"/>
              <w:ind w:left="0" w:right="153" w:firstLine="0" w:firstLineChars="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3892" w:type="dxa"/>
            <w:gridSpan w:val="3"/>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固定端口以太网交换机能效比值（TEER）</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≥300</w:t>
            </w:r>
          </w:p>
        </w:tc>
        <w:tc>
          <w:tcPr>
            <w:tcW w:w="2672" w:type="dxa"/>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检测方法依据附录E中要求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vMerge w:val="restart"/>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2208" w:type="dxa"/>
            <w:gridSpan w:val="2"/>
            <w:vMerge w:val="restart"/>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单路电源输出效率</w:t>
            </w:r>
          </w:p>
        </w:tc>
        <w:tc>
          <w:tcPr>
            <w:tcW w:w="168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20%负载</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≥88%</w:t>
            </w:r>
          </w:p>
        </w:tc>
        <w:tc>
          <w:tcPr>
            <w:tcW w:w="2672" w:type="dxa"/>
            <w:vMerge w:val="restart"/>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检测方法依据HJ 2507附录B要求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474"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2208" w:type="dxa"/>
            <w:gridSpan w:val="2"/>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168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50%负载</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≥92%</w:t>
            </w:r>
          </w:p>
        </w:tc>
        <w:tc>
          <w:tcPr>
            <w:tcW w:w="2672"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2208" w:type="dxa"/>
            <w:gridSpan w:val="2"/>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168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100%负载</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≥88%</w:t>
            </w:r>
          </w:p>
        </w:tc>
        <w:tc>
          <w:tcPr>
            <w:tcW w:w="2672"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w:t>
            </w:r>
          </w:p>
        </w:tc>
        <w:tc>
          <w:tcPr>
            <w:tcW w:w="3892" w:type="dxa"/>
            <w:gridSpan w:val="3"/>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单路电源最低功率因数(50%负载下的)</w:t>
            </w:r>
            <w:r>
              <w:rPr>
                <w:rFonts w:hint="eastAsia" w:ascii="仿宋" w:hAnsi="仿宋" w:eastAsia="仿宋" w:cs="仿宋"/>
                <w:color w:val="000000" w:themeColor="text1"/>
                <w:sz w:val="24"/>
                <w:szCs w:val="24"/>
                <w14:textFill>
                  <w14:solidFill>
                    <w14:schemeClr w14:val="tx1"/>
                  </w14:solidFill>
                </w14:textFill>
              </w:rPr>
              <w:t xml:space="preserve">     </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≥0.90</w:t>
            </w:r>
          </w:p>
        </w:tc>
        <w:tc>
          <w:tcPr>
            <w:tcW w:w="2672"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vMerge w:val="restart"/>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4</w:t>
            </w:r>
          </w:p>
        </w:tc>
        <w:tc>
          <w:tcPr>
            <w:tcW w:w="2208" w:type="dxa"/>
            <w:gridSpan w:val="2"/>
            <w:vMerge w:val="restart"/>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多路电源输出效率</w:t>
            </w:r>
          </w:p>
        </w:tc>
        <w:tc>
          <w:tcPr>
            <w:tcW w:w="168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20%负载</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≥85%</w:t>
            </w:r>
          </w:p>
        </w:tc>
        <w:tc>
          <w:tcPr>
            <w:tcW w:w="2672"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2208" w:type="dxa"/>
            <w:gridSpan w:val="2"/>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168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50%负载</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≥89%</w:t>
            </w:r>
          </w:p>
        </w:tc>
        <w:tc>
          <w:tcPr>
            <w:tcW w:w="2672"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2208" w:type="dxa"/>
            <w:gridSpan w:val="2"/>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168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100%负载</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≥85%</w:t>
            </w:r>
          </w:p>
        </w:tc>
        <w:tc>
          <w:tcPr>
            <w:tcW w:w="2672"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w:t>
            </w:r>
          </w:p>
        </w:tc>
        <w:tc>
          <w:tcPr>
            <w:tcW w:w="3892" w:type="dxa"/>
            <w:gridSpan w:val="3"/>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多路电源最低功率因数(50%负载下的)</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≥0.90</w:t>
            </w:r>
          </w:p>
        </w:tc>
        <w:tc>
          <w:tcPr>
            <w:tcW w:w="2672"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vMerge w:val="restart"/>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6</w:t>
            </w:r>
          </w:p>
        </w:tc>
        <w:tc>
          <w:tcPr>
            <w:tcW w:w="2190" w:type="dxa"/>
            <w:vMerge w:val="restart"/>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噪声发射</w:t>
            </w:r>
          </w:p>
        </w:tc>
        <w:tc>
          <w:tcPr>
            <w:tcW w:w="1702" w:type="dxa"/>
            <w:gridSpan w:val="2"/>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有人值守</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7.6 Bels</w:t>
            </w:r>
          </w:p>
        </w:tc>
        <w:tc>
          <w:tcPr>
            <w:tcW w:w="2672" w:type="dxa"/>
            <w:vMerge w:val="restart"/>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检测方法依据YD/T 1816要求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4"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2190"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c>
          <w:tcPr>
            <w:tcW w:w="1702" w:type="dxa"/>
            <w:gridSpan w:val="2"/>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无人值守</w:t>
            </w:r>
          </w:p>
        </w:tc>
        <w:tc>
          <w:tcPr>
            <w:tcW w:w="1266"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8.1 Bels</w:t>
            </w:r>
          </w:p>
        </w:tc>
        <w:tc>
          <w:tcPr>
            <w:tcW w:w="2672" w:type="dxa"/>
            <w:vMerge w:val="continue"/>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p>
        </w:tc>
      </w:tr>
    </w:tbl>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.2.4 网络防火墙应满足表5的要求。</w:t>
      </w:r>
    </w:p>
    <w:p>
      <w:pPr>
        <w:spacing w:after="156" w:afterLines="50" w:line="360" w:lineRule="auto"/>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表5 网络防火墙技术指标要求</w:t>
      </w:r>
    </w:p>
    <w:tbl>
      <w:tblPr>
        <w:tblStyle w:val="8"/>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
        <w:gridCol w:w="1220"/>
        <w:gridCol w:w="1843"/>
        <w:gridCol w:w="1418"/>
        <w:gridCol w:w="1405"/>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4481" w:type="dxa"/>
            <w:gridSpan w:val="3"/>
            <w:shd w:val="clear" w:color="auto" w:fill="D8D8D8"/>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指标</w:t>
            </w:r>
          </w:p>
        </w:tc>
        <w:tc>
          <w:tcPr>
            <w:tcW w:w="1405" w:type="dxa"/>
            <w:shd w:val="clear" w:color="auto" w:fill="D8D8D8"/>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限制值</w:t>
            </w:r>
          </w:p>
        </w:tc>
        <w:tc>
          <w:tcPr>
            <w:tcW w:w="2138" w:type="dxa"/>
            <w:shd w:val="clear" w:color="auto" w:fill="D8D8D8"/>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220"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固定端口防火墙产品轻量化指标要求</w:t>
            </w:r>
          </w:p>
        </w:tc>
        <w:tc>
          <w:tcPr>
            <w:tcW w:w="1843"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吞吐量档位40G以上</w:t>
            </w: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体积上限</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36 dm</w:t>
            </w:r>
            <w:r>
              <w:rPr>
                <w:rFonts w:hint="eastAsia" w:ascii="仿宋" w:hAnsi="仿宋" w:eastAsia="仿宋" w:cs="仿宋"/>
                <w:color w:val="000000" w:themeColor="text1"/>
                <w:sz w:val="24"/>
                <w:szCs w:val="24"/>
                <w:highlight w:val="none"/>
                <w:vertAlign w:val="superscript"/>
                <w14:textFill>
                  <w14:solidFill>
                    <w14:schemeClr w14:val="tx1"/>
                  </w14:solidFill>
                </w14:textFill>
              </w:rPr>
              <w:t>3</w:t>
            </w:r>
          </w:p>
        </w:tc>
        <w:tc>
          <w:tcPr>
            <w:tcW w:w="2138"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1．体积指产品长*高*深（不含挂耳、走线齿）</w:t>
            </w:r>
          </w:p>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2．吞吐量采用IPV4协议类型</w:t>
            </w:r>
          </w:p>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 附录</w:t>
            </w:r>
            <w:r>
              <w:rPr>
                <w:rFonts w:hint="eastAsia" w:ascii="仿宋" w:hAnsi="仿宋" w:eastAsia="仿宋" w:cs="仿宋"/>
                <w:color w:val="000000" w:themeColor="text1"/>
                <w:sz w:val="24"/>
                <w:szCs w:val="24"/>
                <w:highlight w:val="none"/>
                <w14:textFill>
                  <w14:solidFill>
                    <w14:schemeClr w14:val="tx1"/>
                  </w14:solidFill>
                </w14:textFill>
              </w:rPr>
              <w:t>F要求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功耗/吞吐量</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 W/Gbps</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吞吐量档位30G以上~40G</w:t>
            </w: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体积上限</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 dm</w:t>
            </w:r>
            <w:r>
              <w:rPr>
                <w:rFonts w:hint="eastAsia" w:ascii="仿宋" w:hAnsi="仿宋" w:eastAsia="仿宋" w:cs="仿宋"/>
                <w:color w:val="000000" w:themeColor="text1"/>
                <w:sz w:val="24"/>
                <w:szCs w:val="24"/>
                <w:highlight w:val="none"/>
                <w:vertAlign w:val="superscript"/>
                <w14:textFill>
                  <w14:solidFill>
                    <w14:schemeClr w14:val="tx1"/>
                  </w14:solidFill>
                </w14:textFill>
              </w:rPr>
              <w:t>3</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功耗/吞吐量</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 W/Gbps</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吞吐量档位20G以上~30G</w:t>
            </w: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体积上限</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 dm</w:t>
            </w:r>
            <w:r>
              <w:rPr>
                <w:rFonts w:hint="eastAsia" w:ascii="仿宋" w:hAnsi="仿宋" w:eastAsia="仿宋" w:cs="仿宋"/>
                <w:color w:val="000000" w:themeColor="text1"/>
                <w:sz w:val="24"/>
                <w:szCs w:val="24"/>
                <w:highlight w:val="none"/>
                <w:vertAlign w:val="superscript"/>
                <w14:textFill>
                  <w14:solidFill>
                    <w14:schemeClr w14:val="tx1"/>
                  </w14:solidFill>
                </w14:textFill>
              </w:rPr>
              <w:t>3</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功耗/吞吐量</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 W/Gbps</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吞吐量档位10G以上~20G</w:t>
            </w: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体积上限</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 dm</w:t>
            </w:r>
            <w:r>
              <w:rPr>
                <w:rFonts w:hint="eastAsia" w:ascii="仿宋" w:hAnsi="仿宋" w:eastAsia="仿宋" w:cs="仿宋"/>
                <w:color w:val="000000" w:themeColor="text1"/>
                <w:sz w:val="24"/>
                <w:szCs w:val="24"/>
                <w:highlight w:val="none"/>
                <w:vertAlign w:val="superscript"/>
                <w14:textFill>
                  <w14:solidFill>
                    <w14:schemeClr w14:val="tx1"/>
                  </w14:solidFill>
                </w14:textFill>
              </w:rPr>
              <w:t>3</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功耗/吞吐量</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23</w:t>
            </w:r>
            <w:r>
              <w:rPr>
                <w:rFonts w:hint="eastAsia" w:ascii="仿宋" w:hAnsi="仿宋" w:eastAsia="仿宋" w:cs="仿宋"/>
                <w:color w:val="000000" w:themeColor="text1"/>
                <w:sz w:val="24"/>
                <w:szCs w:val="24"/>
                <w:highlight w:val="none"/>
                <w14:textFill>
                  <w14:solidFill>
                    <w14:schemeClr w14:val="tx1"/>
                  </w14:solidFill>
                </w14:textFill>
              </w:rPr>
              <w:t xml:space="preserve"> W/Gbps</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吞吐量档位1G以上~10G</w:t>
            </w: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体积上限</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 dm</w:t>
            </w:r>
            <w:r>
              <w:rPr>
                <w:rFonts w:hint="eastAsia" w:ascii="仿宋" w:hAnsi="仿宋" w:eastAsia="仿宋" w:cs="仿宋"/>
                <w:color w:val="000000" w:themeColor="text1"/>
                <w:sz w:val="24"/>
                <w:szCs w:val="24"/>
                <w:highlight w:val="none"/>
                <w:vertAlign w:val="superscript"/>
                <w14:textFill>
                  <w14:solidFill>
                    <w14:schemeClr w14:val="tx1"/>
                  </w14:solidFill>
                </w14:textFill>
              </w:rPr>
              <w:t>3</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功耗/吞吐量</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≤25 W/Gbps</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吞吐量档位1G及以下</w:t>
            </w: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体积上限</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 dm</w:t>
            </w:r>
            <w:r>
              <w:rPr>
                <w:rFonts w:hint="eastAsia" w:ascii="仿宋" w:hAnsi="仿宋" w:eastAsia="仿宋" w:cs="仿宋"/>
                <w:color w:val="000000" w:themeColor="text1"/>
                <w:sz w:val="24"/>
                <w:szCs w:val="24"/>
                <w:highlight w:val="none"/>
                <w:vertAlign w:val="superscript"/>
                <w14:textFill>
                  <w14:solidFill>
                    <w14:schemeClr w14:val="tx1"/>
                  </w14:solidFill>
                </w14:textFill>
              </w:rPr>
              <w:t>3</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220"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843"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功耗/吞吐量</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65</w:t>
            </w:r>
            <w:r>
              <w:rPr>
                <w:rFonts w:hint="eastAsia" w:ascii="仿宋" w:hAnsi="仿宋" w:eastAsia="仿宋" w:cs="仿宋"/>
                <w:color w:val="000000" w:themeColor="text1"/>
                <w:sz w:val="24"/>
                <w:szCs w:val="24"/>
                <w:highlight w:val="none"/>
                <w14:textFill>
                  <w14:solidFill>
                    <w14:schemeClr w14:val="tx1"/>
                  </w14:solidFill>
                </w14:textFill>
              </w:rPr>
              <w:t xml:space="preserve"> W/Gbps</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3063" w:type="dxa"/>
            <w:gridSpan w:val="2"/>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固定端口防火墙外部电源</w:t>
            </w: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能耗</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GB20943的节能评价值</w:t>
            </w:r>
          </w:p>
        </w:tc>
        <w:tc>
          <w:tcPr>
            <w:tcW w:w="2138" w:type="dxa"/>
            <w:shd w:val="clear" w:color="auto" w:fill="auto"/>
            <w:vAlign w:val="center"/>
          </w:tcPr>
          <w:p>
            <w:pPr>
              <w:spacing w:line="36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w:t>
            </w:r>
            <w:r>
              <w:rPr>
                <w:rFonts w:hint="eastAsia" w:ascii="仿宋" w:hAnsi="仿宋" w:eastAsia="仿宋" w:cs="仿宋"/>
                <w:color w:val="000000" w:themeColor="text1"/>
                <w:sz w:val="24"/>
                <w:szCs w:val="24"/>
                <w14:textFill>
                  <w14:solidFill>
                    <w14:schemeClr w14:val="tx1"/>
                  </w14:solidFill>
                </w14:textFill>
              </w:rPr>
              <w:t>GB 20943</w:t>
            </w:r>
            <w:r>
              <w:rPr>
                <w:rFonts w:hint="eastAsia" w:ascii="仿宋" w:hAnsi="仿宋" w:eastAsia="仿宋" w:cs="仿宋"/>
                <w:color w:val="000000" w:themeColor="text1"/>
                <w:kern w:val="0"/>
                <w:sz w:val="24"/>
                <w:szCs w:val="24"/>
                <w14:textFill>
                  <w14:solidFill>
                    <w14:schemeClr w14:val="tx1"/>
                  </w14:solidFill>
                </w14:textFill>
              </w:rPr>
              <w:t>要求</w:t>
            </w:r>
            <w:r>
              <w:rPr>
                <w:rFonts w:hint="eastAsia" w:ascii="仿宋" w:hAnsi="仿宋" w:eastAsia="仿宋" w:cs="仿宋"/>
                <w:color w:val="000000" w:themeColor="text1"/>
                <w:kern w:val="0"/>
                <w:sz w:val="24"/>
                <w:szCs w:val="24"/>
                <w:lang w:eastAsia="zh-CN"/>
                <w14:textFill>
                  <w14:solidFill>
                    <w14:schemeClr w14:val="tx1"/>
                  </w14:solidFill>
                </w14:textFill>
              </w:rPr>
              <w:t>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restart"/>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w:t>
            </w:r>
          </w:p>
        </w:tc>
        <w:tc>
          <w:tcPr>
            <w:tcW w:w="3063" w:type="dxa"/>
            <w:gridSpan w:val="2"/>
            <w:vMerge w:val="restart"/>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内部电源输出效率</w:t>
            </w: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20%负载</w:t>
            </w:r>
          </w:p>
        </w:tc>
        <w:tc>
          <w:tcPr>
            <w:tcW w:w="1405" w:type="dxa"/>
            <w:shd w:val="clear" w:color="auto" w:fill="auto"/>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2"/>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85%</w:t>
            </w:r>
          </w:p>
        </w:tc>
        <w:tc>
          <w:tcPr>
            <w:tcW w:w="2138" w:type="dxa"/>
            <w:vMerge w:val="restart"/>
            <w:shd w:val="clear" w:color="auto" w:fill="auto"/>
            <w:vAlign w:val="center"/>
          </w:tcPr>
          <w:p>
            <w:pPr>
              <w:spacing w:line="36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检测方法依据HJ 2507附录B要求</w:t>
            </w:r>
            <w:r>
              <w:rPr>
                <w:rFonts w:hint="eastAsia" w:ascii="仿宋" w:hAnsi="仿宋" w:eastAsia="仿宋" w:cs="仿宋"/>
                <w:color w:val="000000" w:themeColor="text1"/>
                <w:kern w:val="0"/>
                <w:sz w:val="24"/>
                <w:szCs w:val="24"/>
                <w:lang w:eastAsia="zh-CN"/>
                <w14:textFill>
                  <w14:solidFill>
                    <w14:schemeClr w14:val="tx1"/>
                  </w14:solidFill>
                </w14:textFill>
              </w:rPr>
              <w:t>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p>
        </w:tc>
        <w:tc>
          <w:tcPr>
            <w:tcW w:w="3063" w:type="dxa"/>
            <w:gridSpan w:val="2"/>
            <w:vMerge w:val="continue"/>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50%负载</w:t>
            </w:r>
          </w:p>
        </w:tc>
        <w:tc>
          <w:tcPr>
            <w:tcW w:w="1405" w:type="dxa"/>
            <w:shd w:val="clear" w:color="auto" w:fill="auto"/>
            <w:vAlign w:val="center"/>
          </w:tcPr>
          <w:p>
            <w:pPr>
              <w:spacing w:line="360" w:lineRule="auto"/>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2"/>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89%</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vMerge w:val="continue"/>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p>
        </w:tc>
        <w:tc>
          <w:tcPr>
            <w:tcW w:w="3063" w:type="dxa"/>
            <w:gridSpan w:val="2"/>
            <w:vMerge w:val="continue"/>
            <w:shd w:val="clear" w:color="auto" w:fill="auto"/>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p>
        </w:tc>
        <w:tc>
          <w:tcPr>
            <w:tcW w:w="1418" w:type="dxa"/>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100%负载</w:t>
            </w:r>
          </w:p>
        </w:tc>
        <w:tc>
          <w:tcPr>
            <w:tcW w:w="1405" w:type="dxa"/>
            <w:shd w:val="clear" w:color="auto" w:fill="auto"/>
            <w:vAlign w:val="center"/>
          </w:tcPr>
          <w:p>
            <w:pPr>
              <w:spacing w:line="360" w:lineRule="auto"/>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2"/>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85%</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6" w:type="dxa"/>
            <w:shd w:val="clear" w:color="auto" w:fill="auto"/>
            <w:vAlign w:val="center"/>
          </w:tcPr>
          <w:p>
            <w:pPr>
              <w:pStyle w:val="15"/>
              <w:spacing w:after="0" w:line="360" w:lineRule="auto"/>
              <w:ind w:left="0"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4</w:t>
            </w:r>
          </w:p>
        </w:tc>
        <w:tc>
          <w:tcPr>
            <w:tcW w:w="4481" w:type="dxa"/>
            <w:gridSpan w:val="3"/>
            <w:shd w:val="clear" w:color="auto" w:fill="auto"/>
            <w:vAlign w:val="center"/>
          </w:tcPr>
          <w:p>
            <w:pPr>
              <w:pStyle w:val="15"/>
              <w:spacing w:after="0" w:line="360" w:lineRule="auto"/>
              <w:ind w:left="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单路电源最低功率因数(50%负载下的)</w:t>
            </w:r>
            <w:r>
              <w:rPr>
                <w:rFonts w:hint="eastAsia" w:ascii="仿宋" w:hAnsi="仿宋" w:eastAsia="仿宋" w:cs="仿宋"/>
                <w:color w:val="000000" w:themeColor="text1"/>
                <w:sz w:val="24"/>
                <w:szCs w:val="24"/>
                <w14:textFill>
                  <w14:solidFill>
                    <w14:schemeClr w14:val="tx1"/>
                  </w14:solidFill>
                </w14:textFill>
              </w:rPr>
              <w:t xml:space="preserve">     </w:t>
            </w:r>
          </w:p>
        </w:tc>
        <w:tc>
          <w:tcPr>
            <w:tcW w:w="1405" w:type="dxa"/>
            <w:shd w:val="clear" w:color="auto" w:fill="auto"/>
            <w:vAlign w:val="center"/>
          </w:tcPr>
          <w:p>
            <w:pPr>
              <w:spacing w:line="360" w:lineRule="auto"/>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2"/>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0.90</w:t>
            </w:r>
          </w:p>
        </w:tc>
        <w:tc>
          <w:tcPr>
            <w:tcW w:w="2138" w:type="dxa"/>
            <w:vMerge w:val="continue"/>
            <w:shd w:val="clear" w:color="auto" w:fill="auto"/>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476" w:type="dxa"/>
            <w:vMerge w:val="restart"/>
            <w:shd w:val="clear" w:color="auto" w:fill="auto"/>
            <w:vAlign w:val="center"/>
          </w:tcPr>
          <w:p>
            <w:pPr>
              <w:pStyle w:val="15"/>
              <w:spacing w:after="0" w:line="360" w:lineRule="auto"/>
              <w:ind w:left="0"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w:t>
            </w:r>
          </w:p>
        </w:tc>
        <w:tc>
          <w:tcPr>
            <w:tcW w:w="3063" w:type="dxa"/>
            <w:gridSpan w:val="2"/>
            <w:vMerge w:val="restart"/>
            <w:shd w:val="clear" w:color="auto" w:fill="auto"/>
            <w:vAlign w:val="center"/>
          </w:tcPr>
          <w:p>
            <w:pPr>
              <w:pStyle w:val="15"/>
              <w:spacing w:after="0" w:line="360" w:lineRule="auto"/>
              <w:ind w:left="0"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噪声发射</w:t>
            </w:r>
          </w:p>
        </w:tc>
        <w:tc>
          <w:tcPr>
            <w:tcW w:w="1418"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有人值守</w:t>
            </w:r>
          </w:p>
        </w:tc>
        <w:tc>
          <w:tcPr>
            <w:tcW w:w="1405"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7.6 Bels</w:t>
            </w:r>
          </w:p>
        </w:tc>
        <w:tc>
          <w:tcPr>
            <w:tcW w:w="2138" w:type="dxa"/>
            <w:vMerge w:val="restart"/>
            <w:shd w:val="clear" w:color="auto" w:fill="auto"/>
            <w:vAlign w:val="center"/>
          </w:tcPr>
          <w:p>
            <w:pPr>
              <w:spacing w:line="36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检测方法依据YD/T 1816要求</w:t>
            </w:r>
            <w:r>
              <w:rPr>
                <w:rFonts w:hint="eastAsia" w:ascii="仿宋" w:hAnsi="仿宋" w:eastAsia="仿宋" w:cs="仿宋"/>
                <w:color w:val="000000" w:themeColor="text1"/>
                <w:kern w:val="0"/>
                <w:sz w:val="24"/>
                <w:szCs w:val="24"/>
                <w:lang w:eastAsia="zh-CN"/>
                <w14:textFill>
                  <w14:solidFill>
                    <w14:schemeClr w14:val="tx1"/>
                  </w14:solidFill>
                </w14:textFill>
              </w:rPr>
              <w:t>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476" w:type="dxa"/>
            <w:vMerge w:val="continue"/>
            <w:shd w:val="clear" w:color="auto" w:fill="auto"/>
            <w:vAlign w:val="center"/>
          </w:tcPr>
          <w:p>
            <w:pPr>
              <w:pStyle w:val="15"/>
              <w:spacing w:after="0" w:line="360" w:lineRule="auto"/>
              <w:ind w:left="0" w:firstLine="0" w:firstLineChars="0"/>
              <w:rPr>
                <w:rFonts w:hint="eastAsia" w:ascii="仿宋" w:hAnsi="仿宋" w:eastAsia="仿宋" w:cs="仿宋"/>
                <w:color w:val="000000" w:themeColor="text1"/>
                <w:sz w:val="24"/>
                <w:szCs w:val="24"/>
                <w14:textFill>
                  <w14:solidFill>
                    <w14:schemeClr w14:val="tx1"/>
                  </w14:solidFill>
                </w14:textFill>
              </w:rPr>
            </w:pPr>
          </w:p>
        </w:tc>
        <w:tc>
          <w:tcPr>
            <w:tcW w:w="3063" w:type="dxa"/>
            <w:gridSpan w:val="2"/>
            <w:vMerge w:val="continue"/>
            <w:shd w:val="clear" w:color="auto" w:fill="auto"/>
            <w:vAlign w:val="center"/>
          </w:tcPr>
          <w:p>
            <w:pPr>
              <w:pStyle w:val="15"/>
              <w:spacing w:after="0" w:line="360" w:lineRule="auto"/>
              <w:ind w:left="0" w:firstLine="0" w:firstLineChars="0"/>
              <w:rPr>
                <w:rFonts w:hint="eastAsia" w:ascii="仿宋" w:hAnsi="仿宋" w:eastAsia="仿宋" w:cs="仿宋"/>
                <w:color w:val="000000" w:themeColor="text1"/>
                <w:sz w:val="24"/>
                <w:szCs w:val="24"/>
                <w14:textFill>
                  <w14:solidFill>
                    <w14:schemeClr w14:val="tx1"/>
                  </w14:solidFill>
                </w14:textFill>
              </w:rPr>
            </w:pPr>
          </w:p>
        </w:tc>
        <w:tc>
          <w:tcPr>
            <w:tcW w:w="1418" w:type="dxa"/>
            <w:shd w:val="clear" w:color="auto" w:fill="auto"/>
            <w:vAlign w:val="center"/>
          </w:tcPr>
          <w:p>
            <w:pPr>
              <w:pStyle w:val="15"/>
              <w:spacing w:after="0" w:line="360" w:lineRule="auto"/>
              <w:ind w:left="0" w:right="153" w:firstLine="0" w:firstLineChars="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无人值守</w:t>
            </w:r>
          </w:p>
        </w:tc>
        <w:tc>
          <w:tcPr>
            <w:tcW w:w="1405" w:type="dxa"/>
            <w:shd w:val="clear" w:color="auto" w:fill="auto"/>
            <w:vAlign w:val="center"/>
          </w:tcPr>
          <w:p>
            <w:pPr>
              <w:pStyle w:val="15"/>
              <w:spacing w:after="0" w:line="360" w:lineRule="auto"/>
              <w:ind w:left="0" w:right="153" w:firstLine="0" w:firstLineChars="0"/>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8.1 Bels</w:t>
            </w:r>
          </w:p>
        </w:tc>
        <w:tc>
          <w:tcPr>
            <w:tcW w:w="2138" w:type="dxa"/>
            <w:vMerge w:val="continue"/>
            <w:shd w:val="clear" w:color="auto" w:fill="auto"/>
            <w:vAlign w:val="center"/>
          </w:tcPr>
          <w:p>
            <w:pPr>
              <w:pStyle w:val="15"/>
              <w:spacing w:after="0" w:line="360" w:lineRule="auto"/>
              <w:ind w:left="0" w:firstLine="0" w:firstLineChars="0"/>
              <w:rPr>
                <w:rFonts w:hint="eastAsia" w:ascii="仿宋" w:hAnsi="仿宋" w:eastAsia="仿宋" w:cs="仿宋"/>
                <w:color w:val="000000" w:themeColor="text1"/>
                <w:kern w:val="0"/>
                <w:sz w:val="24"/>
                <w:szCs w:val="24"/>
                <w14:textFill>
                  <w14:solidFill>
                    <w14:schemeClr w14:val="tx1"/>
                  </w14:solidFill>
                </w14:textFill>
              </w:rPr>
            </w:pPr>
          </w:p>
        </w:tc>
      </w:tr>
    </w:tbl>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6</w:t>
      </w:r>
      <w:r>
        <w:rPr>
          <w:rFonts w:hint="eastAsia" w:ascii="仿宋" w:hAnsi="仿宋" w:eastAsia="仿宋" w:cs="仿宋"/>
          <w:color w:val="000000" w:themeColor="text1"/>
          <w:kern w:val="0"/>
          <w:sz w:val="32"/>
          <w:szCs w:val="32"/>
          <w14:textFill>
            <w14:solidFill>
              <w14:schemeClr w14:val="tx1"/>
            </w14:solidFill>
          </w14:textFill>
        </w:rPr>
        <w:t>.3 机房用主要配套设备要求</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.3.1 冷却系统</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.3.1.1制冷机组的能效应符合以下要求：</w:t>
      </w:r>
    </w:p>
    <w:tbl>
      <w:tblPr>
        <w:tblStyle w:val="8"/>
        <w:tblW w:w="7167" w:type="dxa"/>
        <w:tblInd w:w="562" w:type="dxa"/>
        <w:tblLayout w:type="fixed"/>
        <w:tblCellMar>
          <w:top w:w="0" w:type="dxa"/>
          <w:left w:w="108" w:type="dxa"/>
          <w:bottom w:w="0" w:type="dxa"/>
          <w:right w:w="108" w:type="dxa"/>
        </w:tblCellMar>
      </w:tblPr>
      <w:tblGrid>
        <w:gridCol w:w="7167"/>
      </w:tblGrid>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冷水机组应符合 GB 19577中一级能效要求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单元式空气调节机应符合 GB 19576中一级能效要求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溴化锂吸收式冷水机组应符合GB 29540中一级能效要求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水(地)源热泵机组应符合GB 30721中一级能效要求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风管送风式空调机组应符合GB 37479中一级能效要求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低环境温度空气源热泵（冷水）机组应符合 GB37480中一级能效要求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电信互联网数据中心用冷水机组应符合YD/T 3601中5.4和5.5的要求</w:t>
            </w:r>
          </w:p>
        </w:tc>
      </w:tr>
    </w:tbl>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.3.1.2 数据中心机房冷却系统制冷剂消耗臭氧潜能值（ODP）为0，并符合《消耗臭氧层物质管理条例》和《中国受控消耗臭氧层物质清单》中的相关要求。</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.3.2 信息设备的不间断电源能效应符合GB/T 14715中一级</w:t>
      </w:r>
      <w:r>
        <w:rPr>
          <w:rFonts w:hint="eastAsia" w:ascii="仿宋" w:hAnsi="仿宋" w:eastAsia="仿宋" w:cs="仿宋"/>
          <w:color w:val="000000" w:themeColor="text1"/>
          <w:sz w:val="32"/>
          <w:szCs w:val="32"/>
          <w:lang w:val="en-US" w:eastAsia="zh-CN"/>
          <w14:textFill>
            <w14:solidFill>
              <w14:schemeClr w14:val="tx1"/>
            </w14:solidFill>
          </w14:textFill>
        </w:rPr>
        <w:t>能效要求</w:t>
      </w:r>
      <w:r>
        <w:rPr>
          <w:rFonts w:hint="eastAsia" w:ascii="仿宋" w:hAnsi="仿宋" w:eastAsia="仿宋" w:cs="仿宋"/>
          <w:color w:val="000000" w:themeColor="text1"/>
          <w:sz w:val="32"/>
          <w:szCs w:val="32"/>
          <w14:textFill>
            <w14:solidFill>
              <w14:schemeClr w14:val="tx1"/>
            </w14:solidFill>
          </w14:textFill>
        </w:rPr>
        <w:t>。</w:t>
      </w:r>
    </w:p>
    <w:p>
      <w:pPr>
        <w:spacing w:after="156" w:afterLines="50" w:line="360" w:lineRule="auto"/>
        <w:rPr>
          <w:rFonts w:hint="eastAsia" w:ascii="仿宋" w:hAnsi="仿宋" w:eastAsia="仿宋" w:cs="仿宋"/>
          <w:i/>
          <w:iCs/>
          <w:color w:val="000000" w:themeColor="text1"/>
          <w:kern w:val="0"/>
          <w:sz w:val="32"/>
          <w:szCs w:val="32"/>
          <w:lang w:val="en-US" w:eastAsia="zh-CN"/>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i/>
          <w:iCs/>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 xml:space="preserve"> 除制冷机组、不间断电源外，其他数据中心直接使用或包含在其他设备内的电机、</w:t>
      </w:r>
      <w:r>
        <w:rPr>
          <w:rFonts w:hint="eastAsia" w:ascii="仿宋" w:hAnsi="仿宋" w:eastAsia="仿宋" w:cs="仿宋"/>
          <w:color w:val="000000" w:themeColor="text1"/>
          <w:sz w:val="32"/>
          <w:szCs w:val="32"/>
          <w:lang w:eastAsia="zh-CN"/>
          <w14:textFill>
            <w14:solidFill>
              <w14:schemeClr w14:val="tx1"/>
            </w14:solidFill>
          </w14:textFill>
        </w:rPr>
        <w:t>变压器、</w:t>
      </w:r>
      <w:r>
        <w:rPr>
          <w:rFonts w:hint="eastAsia" w:ascii="仿宋" w:hAnsi="仿宋" w:eastAsia="仿宋" w:cs="仿宋"/>
          <w:color w:val="000000" w:themeColor="text1"/>
          <w:sz w:val="32"/>
          <w:szCs w:val="32"/>
          <w14:textFill>
            <w14:solidFill>
              <w14:schemeClr w14:val="tx1"/>
            </w14:solidFill>
          </w14:textFill>
        </w:rPr>
        <w:t>泵、风机、压缩机能效</w:t>
      </w:r>
      <w:r>
        <w:rPr>
          <w:rFonts w:hint="eastAsia" w:ascii="仿宋" w:hAnsi="仿宋" w:eastAsia="仿宋" w:cs="仿宋"/>
          <w:color w:val="000000" w:themeColor="text1"/>
          <w:sz w:val="32"/>
          <w:szCs w:val="32"/>
          <w:lang w:eastAsia="zh-CN"/>
          <w14:textFill>
            <w14:solidFill>
              <w14:schemeClr w14:val="tx1"/>
            </w14:solidFill>
          </w14:textFill>
        </w:rPr>
        <w:t>应符合以下要求：</w:t>
      </w:r>
    </w:p>
    <w:tbl>
      <w:tblPr>
        <w:tblStyle w:val="8"/>
        <w:tblW w:w="7167" w:type="dxa"/>
        <w:tblInd w:w="562" w:type="dxa"/>
        <w:tblLayout w:type="fixed"/>
        <w:tblCellMar>
          <w:top w:w="0" w:type="dxa"/>
          <w:left w:w="108" w:type="dxa"/>
          <w:bottom w:w="0" w:type="dxa"/>
          <w:right w:w="108" w:type="dxa"/>
        </w:tblCellMar>
      </w:tblPr>
      <w:tblGrid>
        <w:gridCol w:w="7167"/>
      </w:tblGrid>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eastAsia="zh-CN"/>
                <w14:textFill>
                  <w14:solidFill>
                    <w14:schemeClr w14:val="tx1"/>
                  </w14:solidFill>
                </w14:textFill>
              </w:rPr>
              <w:t>电动机</w:t>
            </w:r>
            <w:r>
              <w:rPr>
                <w:rFonts w:hint="eastAsia" w:ascii="仿宋" w:hAnsi="仿宋" w:eastAsia="仿宋" w:cs="仿宋"/>
                <w:color w:val="000000" w:themeColor="text1"/>
                <w:kern w:val="0"/>
                <w:sz w:val="24"/>
                <w:szCs w:val="24"/>
                <w14:textFill>
                  <w14:solidFill>
                    <w14:schemeClr w14:val="tx1"/>
                  </w14:solidFill>
                </w14:textFill>
              </w:rPr>
              <w:t>能效应符合GB 18613中一级能效要求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容积式空气压缩机能效应符合 GB 19153中一级能效要求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通风机能效应符合GB 19761中</w:t>
            </w:r>
            <w:r>
              <w:rPr>
                <w:rFonts w:hint="eastAsia" w:ascii="仿宋" w:hAnsi="仿宋" w:eastAsia="仿宋" w:cs="仿宋"/>
                <w:color w:val="000000" w:themeColor="text1"/>
                <w:kern w:val="0"/>
                <w:sz w:val="24"/>
                <w:szCs w:val="24"/>
                <w:lang w:eastAsia="zh-CN"/>
                <w14:textFill>
                  <w14:solidFill>
                    <w14:schemeClr w14:val="tx1"/>
                  </w14:solidFill>
                </w14:textFill>
              </w:rPr>
              <w:t>二</w:t>
            </w:r>
            <w:r>
              <w:rPr>
                <w:rFonts w:hint="eastAsia" w:ascii="仿宋" w:hAnsi="仿宋" w:eastAsia="仿宋" w:cs="仿宋"/>
                <w:color w:val="000000" w:themeColor="text1"/>
                <w:kern w:val="0"/>
                <w:sz w:val="24"/>
                <w:szCs w:val="24"/>
                <w14:textFill>
                  <w14:solidFill>
                    <w14:schemeClr w14:val="tx1"/>
                  </w14:solidFill>
                </w14:textFill>
              </w:rPr>
              <w:t>级</w:t>
            </w:r>
            <w:r>
              <w:rPr>
                <w:rFonts w:hint="eastAsia" w:ascii="仿宋" w:hAnsi="仿宋" w:eastAsia="仿宋" w:cs="仿宋"/>
                <w:color w:val="000000" w:themeColor="text1"/>
                <w:kern w:val="0"/>
                <w:sz w:val="24"/>
                <w:szCs w:val="24"/>
                <w:lang w:eastAsia="zh-CN"/>
                <w14:textFill>
                  <w14:solidFill>
                    <w14:schemeClr w14:val="tx1"/>
                  </w14:solidFill>
                </w14:textFill>
              </w:rPr>
              <w:t>及以上</w:t>
            </w:r>
            <w:r>
              <w:rPr>
                <w:rFonts w:hint="eastAsia" w:ascii="仿宋" w:hAnsi="仿宋" w:eastAsia="仿宋" w:cs="仿宋"/>
                <w:color w:val="000000" w:themeColor="text1"/>
                <w:kern w:val="0"/>
                <w:sz w:val="24"/>
                <w:szCs w:val="24"/>
                <w14:textFill>
                  <w14:solidFill>
                    <w14:schemeClr w14:val="tx1"/>
                  </w14:solidFill>
                </w14:textFill>
              </w:rPr>
              <w:t>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电力变压器能效应符合GB 20052中一级能效要求</w:t>
            </w:r>
          </w:p>
        </w:tc>
      </w:tr>
      <w:tr>
        <w:tblPrEx>
          <w:tblLayout w:type="fixed"/>
          <w:tblCellMar>
            <w:top w:w="0" w:type="dxa"/>
            <w:left w:w="108" w:type="dxa"/>
            <w:bottom w:w="0" w:type="dxa"/>
            <w:right w:w="108" w:type="dxa"/>
          </w:tblCellMar>
        </w:tblPrEx>
        <w:tc>
          <w:tcPr>
            <w:tcW w:w="7167" w:type="dxa"/>
            <w:shd w:val="clear" w:color="auto" w:fill="auto"/>
          </w:tcPr>
          <w:p>
            <w:pPr>
              <w:spacing w:line="360" w:lineRule="auto"/>
              <w:ind w:left="210" w:leftChars="100"/>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潜水电泵产品能效</w:t>
            </w:r>
            <w:r>
              <w:rPr>
                <w:rFonts w:hint="eastAsia" w:ascii="仿宋" w:hAnsi="仿宋" w:eastAsia="仿宋" w:cs="仿宋"/>
                <w:color w:val="000000" w:themeColor="text1"/>
                <w:kern w:val="0"/>
                <w:sz w:val="24"/>
                <w:szCs w:val="24"/>
                <w:lang w:eastAsia="zh-CN"/>
                <w14:textFill>
                  <w14:solidFill>
                    <w14:schemeClr w14:val="tx1"/>
                  </w14:solidFill>
                </w14:textFill>
              </w:rPr>
              <w:t>应符合</w:t>
            </w:r>
            <w:r>
              <w:rPr>
                <w:rFonts w:hint="eastAsia" w:ascii="仿宋" w:hAnsi="仿宋" w:eastAsia="仿宋" w:cs="仿宋"/>
                <w:color w:val="000000" w:themeColor="text1"/>
                <w:kern w:val="0"/>
                <w:sz w:val="24"/>
                <w:szCs w:val="24"/>
                <w14:textFill>
                  <w14:solidFill>
                    <w14:schemeClr w14:val="tx1"/>
                  </w14:solidFill>
                </w14:textFill>
              </w:rPr>
              <w:t>GB 32029、GB 32030</w:t>
            </w:r>
            <w:r>
              <w:rPr>
                <w:rFonts w:hint="eastAsia" w:ascii="仿宋" w:hAnsi="仿宋" w:eastAsia="仿宋" w:cs="仿宋"/>
                <w:color w:val="000000" w:themeColor="text1"/>
                <w:kern w:val="0"/>
                <w:sz w:val="24"/>
                <w:szCs w:val="24"/>
                <w:lang w:eastAsia="zh-CN"/>
                <w14:textFill>
                  <w14:solidFill>
                    <w14:schemeClr w14:val="tx1"/>
                  </w14:solidFill>
                </w14:textFill>
              </w:rPr>
              <w:t>中一级能效要求</w:t>
            </w:r>
          </w:p>
        </w:tc>
      </w:tr>
    </w:tbl>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14:textFill>
            <w14:solidFill>
              <w14:schemeClr w14:val="tx1"/>
            </w14:solidFill>
          </w14:textFill>
        </w:rPr>
        <w:t xml:space="preserve"> 电源分配单元（PDU）</w:t>
      </w:r>
    </w:p>
    <w:p>
      <w:pPr>
        <w:spacing w:after="156" w:afterLines="50"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每个可用电源</w:t>
      </w:r>
      <w:r>
        <w:rPr>
          <w:rFonts w:hint="eastAsia" w:ascii="仿宋" w:hAnsi="仿宋" w:eastAsia="仿宋" w:cs="仿宋"/>
          <w:color w:val="000000" w:themeColor="text1"/>
          <w:sz w:val="32"/>
          <w:szCs w:val="32"/>
          <w:lang w:val="en-US" w:eastAsia="zh-CN"/>
          <w14:textFill>
            <w14:solidFill>
              <w14:schemeClr w14:val="tx1"/>
            </w14:solidFill>
          </w14:textFill>
        </w:rPr>
        <w:t>分配单元</w:t>
      </w:r>
      <w:r>
        <w:rPr>
          <w:rFonts w:hint="eastAsia" w:ascii="仿宋" w:hAnsi="仿宋" w:eastAsia="仿宋" w:cs="仿宋"/>
          <w:color w:val="000000" w:themeColor="text1"/>
          <w:sz w:val="32"/>
          <w:szCs w:val="32"/>
          <w14:textFill>
            <w14:solidFill>
              <w14:schemeClr w14:val="tx1"/>
            </w14:solidFill>
          </w14:textFill>
        </w:rPr>
        <w:t>(电源插座或连接端子)的消耗功率不应大于0.5 W。</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合规性验证方式：查验数据中心提供的第三方检测报告或第三方认证证书。</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 xml:space="preserve"> 柴油和汽油发电机应满足表6要求。</w:t>
      </w:r>
    </w:p>
    <w:p>
      <w:pPr>
        <w:spacing w:after="156" w:afterLines="50" w:line="360" w:lineRule="auto"/>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表6 柴油和汽油发电机组技术要求</w:t>
      </w:r>
    </w:p>
    <w:tbl>
      <w:tblPr>
        <w:tblStyle w:val="8"/>
        <w:tblW w:w="8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1191"/>
        <w:gridCol w:w="3321"/>
        <w:gridCol w:w="1650"/>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4512" w:type="dxa"/>
            <w:gridSpan w:val="2"/>
            <w:shd w:val="clear" w:color="auto" w:fill="D8D8D8"/>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指标</w:t>
            </w:r>
          </w:p>
        </w:tc>
        <w:tc>
          <w:tcPr>
            <w:tcW w:w="1650" w:type="dxa"/>
            <w:shd w:val="clear" w:color="auto" w:fill="D8D8D8"/>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限制值</w:t>
            </w:r>
          </w:p>
        </w:tc>
        <w:tc>
          <w:tcPr>
            <w:tcW w:w="1806" w:type="dxa"/>
            <w:shd w:val="clear" w:color="auto" w:fill="D8D8D8"/>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vMerge w:val="restart"/>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191" w:type="dxa"/>
            <w:vMerge w:val="restart"/>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燃油消耗率</w:t>
            </w:r>
          </w:p>
        </w:tc>
        <w:tc>
          <w:tcPr>
            <w:tcW w:w="3321"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机组额定功率120＜P≤250 P(kW)</w:t>
            </w:r>
          </w:p>
        </w:tc>
        <w:tc>
          <w:tcPr>
            <w:tcW w:w="1650"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≤243 g/kW·h</w:t>
            </w:r>
          </w:p>
        </w:tc>
        <w:tc>
          <w:tcPr>
            <w:tcW w:w="1806" w:type="dxa"/>
            <w:vMerge w:val="restart"/>
            <w:shd w:val="clear" w:color="auto" w:fill="auto"/>
          </w:tcPr>
          <w:p>
            <w:pPr>
              <w:spacing w:line="360" w:lineRule="auto"/>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测试方法按照附录G</w:t>
            </w:r>
            <w:r>
              <w:rPr>
                <w:rFonts w:hint="eastAsia" w:ascii="仿宋" w:hAnsi="仿宋" w:eastAsia="仿宋" w:cs="仿宋"/>
                <w:color w:val="000000" w:themeColor="text1"/>
                <w:kern w:val="0"/>
                <w:sz w:val="24"/>
                <w:szCs w:val="24"/>
                <w:lang w:eastAsia="zh-CN"/>
                <w14:textFill>
                  <w14:solidFill>
                    <w14:schemeClr w14:val="tx1"/>
                  </w14:solidFill>
                </w14:textFill>
              </w:rPr>
              <w:t>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vMerge w:val="continue"/>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191" w:type="dxa"/>
            <w:vMerge w:val="continue"/>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3321"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机组额定功率250＜P≤600 P(kW)</w:t>
            </w:r>
          </w:p>
        </w:tc>
        <w:tc>
          <w:tcPr>
            <w:tcW w:w="1650"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≤234 g/kW·h</w:t>
            </w:r>
          </w:p>
        </w:tc>
        <w:tc>
          <w:tcPr>
            <w:tcW w:w="1806" w:type="dxa"/>
            <w:vMerge w:val="continue"/>
            <w:shd w:val="clear" w:color="auto" w:fill="auto"/>
          </w:tcPr>
          <w:p>
            <w:pPr>
              <w:spacing w:line="360" w:lineRule="auto"/>
              <w:rPr>
                <w:rFonts w:hint="eastAsia" w:ascii="仿宋" w:hAnsi="仿宋" w:eastAsia="仿宋" w:cs="仿宋"/>
                <w:b/>
                <w:bCs/>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vMerge w:val="continue"/>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191" w:type="dxa"/>
            <w:vMerge w:val="continue"/>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3321"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机组额定功率600＜P≤1250 P(kW)</w:t>
            </w:r>
          </w:p>
        </w:tc>
        <w:tc>
          <w:tcPr>
            <w:tcW w:w="1650"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≤225 g/kW·h</w:t>
            </w:r>
          </w:p>
        </w:tc>
        <w:tc>
          <w:tcPr>
            <w:tcW w:w="1806" w:type="dxa"/>
            <w:vMerge w:val="continue"/>
            <w:shd w:val="clear" w:color="auto" w:fill="auto"/>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vMerge w:val="continue"/>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191" w:type="dxa"/>
            <w:vMerge w:val="continue"/>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3321"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机组额定功率1250＜P P(kW)</w:t>
            </w:r>
          </w:p>
        </w:tc>
        <w:tc>
          <w:tcPr>
            <w:tcW w:w="1650"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≤216 g/kW·h</w:t>
            </w:r>
          </w:p>
        </w:tc>
        <w:tc>
          <w:tcPr>
            <w:tcW w:w="1806" w:type="dxa"/>
            <w:vMerge w:val="continue"/>
            <w:shd w:val="clear" w:color="auto" w:fill="auto"/>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vMerge w:val="restart"/>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191" w:type="dxa"/>
            <w:vMerge w:val="restart"/>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运行最大噪声</w:t>
            </w:r>
          </w:p>
        </w:tc>
        <w:tc>
          <w:tcPr>
            <w:tcW w:w="3321"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机组额定功率P≤250 P(kW)</w:t>
            </w:r>
          </w:p>
        </w:tc>
        <w:tc>
          <w:tcPr>
            <w:tcW w:w="1650"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≤105 dB（A）</w:t>
            </w:r>
          </w:p>
        </w:tc>
        <w:tc>
          <w:tcPr>
            <w:tcW w:w="1806" w:type="dxa"/>
            <w:vMerge w:val="restart"/>
            <w:shd w:val="clear" w:color="auto" w:fill="auto"/>
          </w:tcPr>
          <w:p>
            <w:pPr>
              <w:spacing w:line="360" w:lineRule="auto"/>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测试方法按照附录H</w:t>
            </w:r>
            <w:r>
              <w:rPr>
                <w:rFonts w:hint="eastAsia" w:ascii="仿宋" w:hAnsi="仿宋" w:eastAsia="仿宋" w:cs="仿宋"/>
                <w:color w:val="000000" w:themeColor="text1"/>
                <w:kern w:val="0"/>
                <w:sz w:val="24"/>
                <w:szCs w:val="24"/>
                <w:lang w:eastAsia="zh-CN"/>
                <w14:textFill>
                  <w14:solidFill>
                    <w14:schemeClr w14:val="tx1"/>
                  </w14:solidFill>
                </w14:textFill>
              </w:rPr>
              <w:t>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vMerge w:val="continue"/>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191" w:type="dxa"/>
            <w:vMerge w:val="continue"/>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p>
        </w:tc>
        <w:tc>
          <w:tcPr>
            <w:tcW w:w="3321"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机组额定功率P &gt;250 P(kW)</w:t>
            </w:r>
          </w:p>
        </w:tc>
        <w:tc>
          <w:tcPr>
            <w:tcW w:w="1650"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≤110 dB（A）</w:t>
            </w:r>
          </w:p>
        </w:tc>
        <w:tc>
          <w:tcPr>
            <w:tcW w:w="1806" w:type="dxa"/>
            <w:vMerge w:val="continue"/>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4512" w:type="dxa"/>
            <w:gridSpan w:val="2"/>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排放</w:t>
            </w:r>
          </w:p>
        </w:tc>
        <w:tc>
          <w:tcPr>
            <w:tcW w:w="3456" w:type="dxa"/>
            <w:gridSpan w:val="2"/>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符合GB36886、GB26133、GB20891、GB20891-2014修改单要求</w:t>
            </w:r>
          </w:p>
        </w:tc>
      </w:tr>
    </w:tbl>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w:t>
      </w:r>
      <w:r>
        <w:rPr>
          <w:rFonts w:hint="eastAsia" w:ascii="仿宋" w:hAnsi="仿宋" w:eastAsia="仿宋" w:cs="仿宋"/>
          <w:i/>
          <w:iCs/>
          <w:color w:val="000000" w:themeColor="text1"/>
          <w:kern w:val="0"/>
          <w:sz w:val="32"/>
          <w:szCs w:val="32"/>
          <w:highlight w:val="none"/>
          <w:lang w:val="en-US" w:eastAsia="zh-CN"/>
          <w14:textFill>
            <w14:solidFill>
              <w14:schemeClr w14:val="tx1"/>
            </w14:solidFill>
          </w14:textFill>
        </w:rPr>
        <w:t>或</w:t>
      </w:r>
      <w:r>
        <w:rPr>
          <w:rFonts w:hint="eastAsia" w:ascii="仿宋" w:hAnsi="仿宋" w:eastAsia="仿宋" w:cs="仿宋"/>
          <w:i/>
          <w:iCs/>
          <w:color w:val="000000" w:themeColor="text1"/>
          <w:kern w:val="0"/>
          <w:sz w:val="32"/>
          <w:szCs w:val="32"/>
          <w:lang w:val="en-US" w:eastAsia="zh-CN"/>
          <w14:textFill>
            <w14:solidFill>
              <w14:schemeClr w14:val="tx1"/>
            </w14:solidFill>
          </w14:textFill>
        </w:rPr>
        <w:t>第三方认证证书。</w:t>
      </w:r>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eastAsia="zh-CN"/>
          <w14:textFill>
            <w14:solidFill>
              <w14:schemeClr w14:val="tx1"/>
            </w14:solidFill>
          </w14:textFill>
        </w:rPr>
        <w:t>敷设在隐蔽通风空间的配电线路电缆应</w:t>
      </w:r>
      <w:r>
        <w:rPr>
          <w:rFonts w:hint="eastAsia" w:ascii="仿宋" w:hAnsi="仿宋" w:eastAsia="仿宋" w:cs="仿宋"/>
          <w:color w:val="000000" w:themeColor="text1"/>
          <w:sz w:val="32"/>
          <w:szCs w:val="32"/>
          <w14:textFill>
            <w14:solidFill>
              <w14:schemeClr w14:val="tx1"/>
            </w14:solidFill>
          </w14:textFill>
        </w:rPr>
        <w:t>满足表7的要求。</w:t>
      </w:r>
    </w:p>
    <w:p>
      <w:pPr>
        <w:spacing w:after="156" w:afterLines="50" w:line="360" w:lineRule="auto"/>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表7  电缆技术要求</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2346"/>
        <w:gridCol w:w="2733"/>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2346" w:type="dxa"/>
            <w:shd w:val="clear" w:color="auto" w:fill="D8D8D8"/>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指标</w:t>
            </w:r>
          </w:p>
        </w:tc>
        <w:tc>
          <w:tcPr>
            <w:tcW w:w="2733" w:type="dxa"/>
            <w:shd w:val="clear" w:color="auto" w:fill="D8D8D8"/>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限制值</w:t>
            </w:r>
          </w:p>
        </w:tc>
        <w:tc>
          <w:tcPr>
            <w:tcW w:w="2733" w:type="dxa"/>
            <w:shd w:val="clear" w:color="auto" w:fill="D8D8D8"/>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 w:type="dxa"/>
            <w:shd w:val="clear" w:color="auto" w:fill="auto"/>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2346"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产品燃烧产生烟气</w:t>
            </w:r>
          </w:p>
        </w:tc>
        <w:tc>
          <w:tcPr>
            <w:tcW w:w="2733" w:type="dxa"/>
            <w:shd w:val="clear" w:color="auto" w:fill="auto"/>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烟气最小透光率不得小于 60% </w:t>
            </w:r>
          </w:p>
        </w:tc>
        <w:tc>
          <w:tcPr>
            <w:tcW w:w="2733" w:type="dxa"/>
            <w:shd w:val="clear" w:color="auto" w:fill="auto"/>
          </w:tcPr>
          <w:p>
            <w:pPr>
              <w:spacing w:line="36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测试方法按照GB/T 17651.2要求</w:t>
            </w:r>
            <w:r>
              <w:rPr>
                <w:rFonts w:hint="eastAsia" w:ascii="仿宋" w:hAnsi="仿宋" w:eastAsia="仿宋" w:cs="仿宋"/>
                <w:color w:val="000000" w:themeColor="text1"/>
                <w:sz w:val="24"/>
                <w:szCs w:val="24"/>
                <w:lang w:eastAsia="zh-CN"/>
                <w14:textFill>
                  <w14:solidFill>
                    <w14:schemeClr w14:val="tx1"/>
                  </w14:solidFill>
                </w14:textFill>
              </w:rPr>
              <w:t>执行</w:t>
            </w:r>
          </w:p>
        </w:tc>
      </w:tr>
    </w:tbl>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kern w:val="0"/>
          <w:sz w:val="32"/>
          <w:szCs w:val="32"/>
          <w:lang w:val="en-US" w:eastAsia="zh-CN"/>
          <w14:textFill>
            <w14:solidFill>
              <w14:schemeClr w14:val="tx1"/>
            </w14:solidFill>
          </w14:textFill>
        </w:rPr>
        <w:t>合规性验证方式：查验数据中心提供的第三方检测报告或第三方认证证书。</w:t>
      </w:r>
      <w:bookmarkStart w:id="19" w:name="_GoBack"/>
      <w:bookmarkEnd w:id="19"/>
    </w:p>
    <w:p>
      <w:pPr>
        <w:spacing w:after="156" w:afterLines="5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br w:type="page"/>
      </w:r>
      <w:bookmarkStart w:id="6" w:name="_Toc45540859"/>
    </w:p>
    <w:p>
      <w:pPr>
        <w:spacing w:after="156" w:afterLines="50" w:line="360" w:lineRule="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 xml:space="preserve">附录 A </w:t>
      </w:r>
    </w:p>
    <w:p>
      <w:pPr>
        <w:spacing w:after="156" w:afterLines="50"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15项多环芳烃（PAHs）清单</w:t>
      </w:r>
    </w:p>
    <w:tbl>
      <w:tblPr>
        <w:tblStyle w:val="9"/>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中文</w:t>
            </w:r>
          </w:p>
        </w:tc>
        <w:tc>
          <w:tcPr>
            <w:tcW w:w="2693"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英文</w:t>
            </w:r>
          </w:p>
        </w:tc>
        <w:tc>
          <w:tcPr>
            <w:tcW w:w="2835"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CAS号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萘</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Naphthalene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91-20-3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菲</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Phenanthrene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85-01-8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蒽</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Anthracene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120-12-7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荧蒽</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Fluoranthene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206-44-0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芘</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Pyrene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129-00-0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苯并(a)蒽</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Benzo[a]anthracene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56-55-3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屈</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Chrysene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218-01-9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苯并(b)荧蒽</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Benzo[b]fluoranthene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205-99-2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苯并[k]荧蒽</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Benzo[k]fluoranthene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207-08-9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苯并[j]荧蒽</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Benzo[j]fluoranthene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205-82-3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苯并[e]芘</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Benzo[e]pyrene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192-97-2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苯并[a]芘</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Benzo[a]pyrene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50-32-8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二苯并(a,h)蒽</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Dibenzo[a,h]anthracene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53-70-3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茚苯并(1,2,3-cd) 芘</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Indeno[1,2,3-cd]pyrene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193-39-5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9" w:type="dxa"/>
          </w:tcPr>
          <w:p>
            <w:pPr>
              <w:spacing w:after="156" w:afterLines="50"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苯并[g,h,i]苝</w:t>
            </w:r>
          </w:p>
        </w:tc>
        <w:tc>
          <w:tcPr>
            <w:tcW w:w="2693"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Benzo[g,h,i]perylene</w:t>
            </w:r>
          </w:p>
        </w:tc>
        <w:tc>
          <w:tcPr>
            <w:tcW w:w="2835" w:type="dxa"/>
          </w:tcPr>
          <w:p>
            <w:pPr>
              <w:spacing w:after="156" w:afterLines="50" w:line="360" w:lineRule="auto"/>
              <w:jc w:val="center"/>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191-24-2</w:t>
            </w:r>
          </w:p>
        </w:tc>
      </w:tr>
    </w:tbl>
    <w:p>
      <w:pPr>
        <w:spacing w:after="156" w:afterLines="50" w:line="360" w:lineRule="auto"/>
        <w:rPr>
          <w:rFonts w:hint="eastAsia" w:ascii="仿宋" w:hAnsi="仿宋" w:eastAsia="仿宋" w:cs="仿宋"/>
          <w:b/>
          <w:bCs/>
          <w:color w:val="000000" w:themeColor="text1"/>
          <w:sz w:val="32"/>
          <w:szCs w:val="32"/>
          <w14:textFill>
            <w14:solidFill>
              <w14:schemeClr w14:val="tx1"/>
            </w14:solidFill>
          </w14:textFill>
        </w:rPr>
      </w:pPr>
    </w:p>
    <w:p>
      <w:pPr>
        <w:spacing w:after="156" w:afterLines="50" w:line="360" w:lineRule="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 xml:space="preserve">附录B </w:t>
      </w:r>
      <w:bookmarkStart w:id="7" w:name="_Toc350864020"/>
      <w:bookmarkEnd w:id="7"/>
      <w:bookmarkStart w:id="8" w:name="DW"/>
      <w:bookmarkEnd w:id="8"/>
      <w:bookmarkStart w:id="9" w:name="_Toc363024830"/>
      <w:bookmarkEnd w:id="9"/>
      <w:bookmarkStart w:id="10" w:name="_Toc350864017"/>
      <w:bookmarkEnd w:id="10"/>
      <w:bookmarkStart w:id="11" w:name="_Toc363024831"/>
      <w:bookmarkEnd w:id="11"/>
      <w:bookmarkStart w:id="12" w:name="_Toc350864021"/>
      <w:bookmarkEnd w:id="12"/>
      <w:bookmarkStart w:id="13" w:name="_Toc363024826"/>
      <w:bookmarkEnd w:id="13"/>
      <w:bookmarkStart w:id="14" w:name="_Toc350864016"/>
      <w:bookmarkEnd w:id="14"/>
      <w:bookmarkStart w:id="15" w:name="_Toc363024827"/>
      <w:bookmarkEnd w:id="15"/>
      <w:bookmarkStart w:id="16" w:name="_Toc42362629"/>
      <w:r>
        <w:rPr>
          <w:rFonts w:hint="eastAsia" w:ascii="仿宋" w:hAnsi="仿宋" w:eastAsia="仿宋" w:cs="仿宋"/>
          <w:b/>
          <w:bCs/>
          <w:color w:val="000000" w:themeColor="text1"/>
          <w:sz w:val="32"/>
          <w:szCs w:val="32"/>
          <w14:textFill>
            <w14:solidFill>
              <w14:schemeClr w14:val="tx1"/>
            </w14:solidFill>
          </w14:textFill>
        </w:rPr>
        <w:t xml:space="preserve">           </w:t>
      </w:r>
    </w:p>
    <w:p>
      <w:pPr>
        <w:spacing w:after="156" w:afterLines="50" w:line="360" w:lineRule="auto"/>
        <w:ind w:firstLine="0" w:firstLine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产品有害物豁免条款</w:t>
      </w:r>
      <w:bookmarkEnd w:id="6"/>
      <w:bookmarkEnd w:id="16"/>
    </w:p>
    <w:tbl>
      <w:tblPr>
        <w:tblStyle w:val="8"/>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1.铅作为合金元素，在用于机械加工用的钢中，铅含量不超过0.35%；在批量热浸镀锌钢零件中，铅含量不超过0.2%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2.铝合金中的铅含量以质量计不超过0.4%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3.铜合金中的铅含量以质量计</w:t>
            </w:r>
            <w:r>
              <w:rPr>
                <w:rFonts w:hint="eastAsia" w:ascii="仿宋" w:hAnsi="仿宋" w:eastAsia="仿宋" w:cs="仿宋"/>
                <w:color w:val="000000" w:themeColor="text1"/>
                <w:kern w:val="0"/>
                <w:sz w:val="24"/>
                <w:szCs w:val="24"/>
                <w:lang w:eastAsia="zh-CN"/>
                <w14:textFill>
                  <w14:solidFill>
                    <w14:schemeClr w14:val="tx1"/>
                  </w14:solidFill>
                </w14:textFill>
              </w:rPr>
              <w:t>不超过</w:t>
            </w:r>
            <w:r>
              <w:rPr>
                <w:rFonts w:hint="eastAsia" w:ascii="仿宋" w:hAnsi="仿宋" w:eastAsia="仿宋" w:cs="仿宋"/>
                <w:color w:val="000000" w:themeColor="text1"/>
                <w:kern w:val="0"/>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4.高熔点型焊料中的铅(例如铅基合金中铅含量超过85%)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5.除介电陶瓷电容器外，其它电子电气元件中玻璃或陶瓷中的铅(例如压电电子装置)，或玻璃或陶瓷复合材料中的铅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6.额定电压高于交流电125伏特或直流电250伏特的介电陶瓷电容器中的铅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7.以锆钛酸铅（PZT）为基础的介电陶瓷材料的电容器的铅，该电容器为集成电路或分立半导体的组成部分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8.用于以下用途的电触点中的镉及其化合物：</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断路器</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热感控制器</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热电机保护器（不包括密封热电机保护器）</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交流开关额定值为：</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6A以上及交流电250V以上，或12A以上及交流电125V以上</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直流开关的额定电流为20A以上及直流电18V以上</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电源频率≥200Hz时使用的开关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8222" w:type="dxa"/>
            <w:vAlign w:val="center"/>
          </w:tcPr>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9. 集成电路倒装芯片封装中半导体芯片及载体之间形成可靠联接所用焊料中的铅，应用于至少如下一种条件：</w:t>
            </w:r>
            <w:r>
              <w:rPr>
                <w:rFonts w:hint="eastAsia" w:ascii="仿宋" w:hAnsi="仿宋" w:eastAsia="仿宋" w:cs="仿宋"/>
                <w:color w:val="000000" w:themeColor="text1"/>
                <w:kern w:val="0"/>
                <w:sz w:val="24"/>
                <w:szCs w:val="24"/>
                <w14:textFill>
                  <w14:solidFill>
                    <w14:schemeClr w14:val="tx1"/>
                  </w14:solidFill>
                </w14:textFill>
              </w:rPr>
              <w:br w:type="textWrapping"/>
            </w:r>
            <w:r>
              <w:rPr>
                <w:rFonts w:hint="eastAsia" w:ascii="仿宋" w:hAnsi="仿宋" w:eastAsia="仿宋" w:cs="仿宋"/>
                <w:color w:val="000000" w:themeColor="text1"/>
                <w:kern w:val="0"/>
                <w:sz w:val="24"/>
                <w:szCs w:val="24"/>
                <w14:textFill>
                  <w14:solidFill>
                    <w14:schemeClr w14:val="tx1"/>
                  </w14:solidFill>
                </w14:textFill>
              </w:rPr>
              <w:t>-90nm及大于90nm半导体技术节点</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-任意半导体技术节点下面积大于或等于300mm</w:t>
            </w:r>
            <w:r>
              <w:rPr>
                <w:rFonts w:hint="eastAsia" w:ascii="仿宋" w:hAnsi="仿宋" w:eastAsia="仿宋" w:cs="仿宋"/>
                <w:color w:val="000000" w:themeColor="text1"/>
                <w:kern w:val="0"/>
                <w:sz w:val="24"/>
                <w:szCs w:val="24"/>
                <w:vertAlign w:val="superscript"/>
                <w14:textFill>
                  <w14:solidFill>
                    <w14:schemeClr w14:val="tx1"/>
                  </w14:solidFill>
                </w14:textFill>
              </w:rPr>
              <w:t>2</w:t>
            </w:r>
            <w:r>
              <w:rPr>
                <w:rFonts w:hint="eastAsia" w:ascii="仿宋" w:hAnsi="仿宋" w:eastAsia="仿宋" w:cs="仿宋"/>
                <w:color w:val="000000" w:themeColor="text1"/>
                <w:kern w:val="0"/>
                <w:sz w:val="24"/>
                <w:szCs w:val="24"/>
                <w14:textFill>
                  <w14:solidFill>
                    <w14:schemeClr w14:val="tx1"/>
                  </w14:solidFill>
                </w14:textFill>
              </w:rPr>
              <w:t>的单个芯片</w:t>
            </w:r>
          </w:p>
          <w:p>
            <w:pPr>
              <w:spacing w:line="360" w:lineRule="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-芯片尺寸大于或等于300mm</w:t>
            </w:r>
            <w:r>
              <w:rPr>
                <w:rFonts w:hint="eastAsia" w:ascii="仿宋" w:hAnsi="仿宋" w:eastAsia="仿宋" w:cs="仿宋"/>
                <w:color w:val="000000" w:themeColor="text1"/>
                <w:kern w:val="0"/>
                <w:sz w:val="24"/>
                <w:szCs w:val="24"/>
                <w:vertAlign w:val="superscript"/>
                <w14:textFill>
                  <w14:solidFill>
                    <w14:schemeClr w14:val="tx1"/>
                  </w14:solidFill>
                </w14:textFill>
              </w:rPr>
              <w:t>2</w:t>
            </w:r>
            <w:r>
              <w:rPr>
                <w:rFonts w:hint="eastAsia" w:ascii="仿宋" w:hAnsi="仿宋" w:eastAsia="仿宋" w:cs="仿宋"/>
                <w:color w:val="000000" w:themeColor="text1"/>
                <w:kern w:val="0"/>
                <w:sz w:val="24"/>
                <w:szCs w:val="24"/>
                <w14:textFill>
                  <w14:solidFill>
                    <w14:schemeClr w14:val="tx1"/>
                  </w14:solidFill>
                </w14:textFill>
              </w:rPr>
              <w:t>的堆叠封装，或大于等于300mm</w:t>
            </w:r>
            <w:r>
              <w:rPr>
                <w:rFonts w:hint="eastAsia" w:ascii="仿宋" w:hAnsi="仿宋" w:eastAsia="仿宋" w:cs="仿宋"/>
                <w:color w:val="000000" w:themeColor="text1"/>
                <w:kern w:val="0"/>
                <w:sz w:val="24"/>
                <w:szCs w:val="24"/>
                <w:vertAlign w:val="superscript"/>
                <w14:textFill>
                  <w14:solidFill>
                    <w14:schemeClr w14:val="tx1"/>
                  </w14:solidFill>
                </w14:textFill>
              </w:rPr>
              <w:t>2</w:t>
            </w:r>
            <w:r>
              <w:rPr>
                <w:rFonts w:hint="eastAsia" w:ascii="仿宋" w:hAnsi="仿宋" w:eastAsia="仿宋" w:cs="仿宋"/>
                <w:color w:val="000000" w:themeColor="text1"/>
                <w:kern w:val="0"/>
                <w:sz w:val="24"/>
                <w:szCs w:val="24"/>
                <w14:textFill>
                  <w14:solidFill>
                    <w14:schemeClr w14:val="tx1"/>
                  </w14:solidFill>
                </w14:textFill>
              </w:rPr>
              <w:t>的硅中介层</w:t>
            </w:r>
          </w:p>
        </w:tc>
      </w:tr>
    </w:tbl>
    <w:p>
      <w:pPr>
        <w:spacing w:line="360" w:lineRule="auto"/>
        <w:rPr>
          <w:rFonts w:hint="eastAsia" w:ascii="仿宋" w:hAnsi="仿宋" w:eastAsia="仿宋" w:cs="仿宋"/>
          <w:color w:val="000000" w:themeColor="text1"/>
          <w:sz w:val="32"/>
          <w:szCs w:val="32"/>
          <w14:textFill>
            <w14:solidFill>
              <w14:schemeClr w14:val="tx1"/>
            </w14:solidFill>
          </w14:textFill>
        </w:rPr>
      </w:pPr>
    </w:p>
    <w:p>
      <w:pPr>
        <w:widowControl/>
        <w:spacing w:line="360" w:lineRule="auto"/>
        <w:jc w:val="left"/>
        <w:rPr>
          <w:rFonts w:hint="eastAsia" w:ascii="仿宋" w:hAnsi="仿宋" w:eastAsia="仿宋" w:cs="仿宋"/>
          <w:color w:val="000000" w:themeColor="text1"/>
          <w:sz w:val="32"/>
          <w:szCs w:val="32"/>
          <w14:textFill>
            <w14:solidFill>
              <w14:schemeClr w14:val="tx1"/>
            </w14:solidFill>
          </w14:textFill>
        </w:rPr>
      </w:pPr>
      <w:bookmarkStart w:id="17" w:name="_Toc45540860"/>
      <w:r>
        <w:rPr>
          <w:rFonts w:hint="eastAsia" w:ascii="仿宋" w:hAnsi="仿宋" w:eastAsia="仿宋" w:cs="仿宋"/>
          <w:color w:val="000000" w:themeColor="text1"/>
          <w:sz w:val="32"/>
          <w:szCs w:val="32"/>
          <w14:textFill>
            <w14:solidFill>
              <w14:schemeClr w14:val="tx1"/>
            </w14:solidFill>
          </w14:textFill>
        </w:rPr>
        <w:br w:type="page"/>
      </w:r>
      <w:r>
        <w:rPr>
          <w:rFonts w:hint="eastAsia" w:ascii="仿宋" w:hAnsi="仿宋" w:eastAsia="仿宋" w:cs="仿宋"/>
          <w:b/>
          <w:bCs/>
          <w:color w:val="000000" w:themeColor="text1"/>
          <w:sz w:val="32"/>
          <w:szCs w:val="32"/>
          <w14:textFill>
            <w14:solidFill>
              <w14:schemeClr w14:val="tx1"/>
            </w14:solidFill>
          </w14:textFill>
        </w:rPr>
        <w:t xml:space="preserve">附录C </w:t>
      </w:r>
    </w:p>
    <w:p>
      <w:pPr>
        <w:spacing w:before="156" w:beforeLines="50" w:after="156" w:afterLines="50"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可再生利用率评估计算表</w:t>
      </w:r>
    </w:p>
    <w:tbl>
      <w:tblPr>
        <w:tblStyle w:val="8"/>
        <w:tblW w:w="894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1"/>
        <w:gridCol w:w="208"/>
        <w:gridCol w:w="1079"/>
        <w:gridCol w:w="412"/>
        <w:gridCol w:w="1490"/>
        <w:gridCol w:w="1489"/>
        <w:gridCol w:w="1491"/>
        <w:gridCol w:w="14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68" w:type="dxa"/>
            <w:gridSpan w:val="3"/>
            <w:tcBorders>
              <w:bottom w:val="single" w:color="auto" w:sz="4" w:space="0"/>
            </w:tcBorders>
            <w:shd w:val="clear" w:color="auto" w:fill="FFFFFF"/>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产品名称</w:t>
            </w:r>
          </w:p>
        </w:tc>
        <w:tc>
          <w:tcPr>
            <w:tcW w:w="6372" w:type="dxa"/>
            <w:gridSpan w:val="5"/>
            <w:tcBorders>
              <w:bottom w:val="single" w:color="auto" w:sz="4" w:space="0"/>
            </w:tcBorders>
            <w:shd w:val="clear" w:color="auto" w:fill="FFFFFF"/>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68" w:type="dxa"/>
            <w:gridSpan w:val="3"/>
            <w:tcBorders>
              <w:bottom w:val="single" w:color="auto" w:sz="4" w:space="0"/>
            </w:tcBorders>
            <w:shd w:val="clear" w:color="auto" w:fill="FFFFFF"/>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型号（系列）</w:t>
            </w:r>
          </w:p>
        </w:tc>
        <w:tc>
          <w:tcPr>
            <w:tcW w:w="6372" w:type="dxa"/>
            <w:gridSpan w:val="5"/>
            <w:tcBorders>
              <w:bottom w:val="single" w:color="auto" w:sz="4" w:space="0"/>
            </w:tcBorders>
            <w:shd w:val="clear" w:color="auto" w:fill="FFFFFF"/>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68" w:type="dxa"/>
            <w:gridSpan w:val="3"/>
            <w:tcBorders>
              <w:bottom w:val="single" w:color="auto" w:sz="4" w:space="0"/>
            </w:tcBorders>
            <w:shd w:val="clear" w:color="auto" w:fill="FFFFFF"/>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整机图片</w:t>
            </w:r>
          </w:p>
        </w:tc>
        <w:tc>
          <w:tcPr>
            <w:tcW w:w="6372" w:type="dxa"/>
            <w:gridSpan w:val="5"/>
            <w:tcBorders>
              <w:bottom w:val="single" w:color="auto" w:sz="4" w:space="0"/>
            </w:tcBorders>
            <w:shd w:val="clear" w:color="auto" w:fill="FFFFFF"/>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68" w:type="dxa"/>
            <w:gridSpan w:val="3"/>
            <w:tcBorders>
              <w:bottom w:val="single" w:color="auto" w:sz="4" w:space="0"/>
            </w:tcBorders>
            <w:shd w:val="clear" w:color="auto" w:fill="FFFFFF"/>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整机质量(g)</w:t>
            </w:r>
          </w:p>
        </w:tc>
        <w:tc>
          <w:tcPr>
            <w:tcW w:w="6372" w:type="dxa"/>
            <w:gridSpan w:val="5"/>
            <w:tcBorders>
              <w:bottom w:val="single" w:color="auto" w:sz="4" w:space="0"/>
            </w:tcBorders>
            <w:shd w:val="clear" w:color="auto" w:fill="FFFFFF"/>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部件名称</w:t>
            </w:r>
          </w:p>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（示例）</w:t>
            </w:r>
          </w:p>
        </w:tc>
        <w:tc>
          <w:tcPr>
            <w:tcW w:w="1491" w:type="dxa"/>
            <w:gridSpan w:val="2"/>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质量</w:t>
            </w:r>
          </w:p>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（g）</w:t>
            </w: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材质名称（拆分到最小零部件或均质）</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质量</w:t>
            </w:r>
          </w:p>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（g）</w:t>
            </w: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可再生利用率</w:t>
            </w:r>
          </w:p>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材质可再生利用质量（g）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vMerge w:val="restart"/>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机箱</w:t>
            </w:r>
          </w:p>
        </w:tc>
        <w:tc>
          <w:tcPr>
            <w:tcW w:w="1491" w:type="dxa"/>
            <w:gridSpan w:val="2"/>
            <w:vMerge w:val="restart"/>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金属(钢)</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vMerge w:val="continue"/>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gridSpan w:val="2"/>
            <w:vMerge w:val="continue"/>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塑料（ABS）</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vMerge w:val="continue"/>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gridSpan w:val="2"/>
            <w:vMerge w:val="continue"/>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vMerge w:val="restart"/>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电源</w:t>
            </w:r>
          </w:p>
        </w:tc>
        <w:tc>
          <w:tcPr>
            <w:tcW w:w="1491" w:type="dxa"/>
            <w:gridSpan w:val="2"/>
            <w:vMerge w:val="restart"/>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vMerge w:val="continue"/>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gridSpan w:val="2"/>
            <w:vMerge w:val="continue"/>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vMerge w:val="restart"/>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主板</w:t>
            </w:r>
          </w:p>
        </w:tc>
        <w:tc>
          <w:tcPr>
            <w:tcW w:w="1491" w:type="dxa"/>
            <w:gridSpan w:val="2"/>
            <w:vMerge w:val="restart"/>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vMerge w:val="continue"/>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gridSpan w:val="2"/>
            <w:vMerge w:val="continue"/>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89" w:type="dxa"/>
            <w:gridSpan w:val="2"/>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p>
        </w:tc>
        <w:tc>
          <w:tcPr>
            <w:tcW w:w="1491" w:type="dxa"/>
            <w:gridSpan w:val="2"/>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p>
        </w:tc>
        <w:tc>
          <w:tcPr>
            <w:tcW w:w="1489"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1" w:type="dxa"/>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450" w:type="dxa"/>
            <w:gridSpan w:val="7"/>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整机【材质可再生利用质量】(g)</w:t>
            </w: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450" w:type="dxa"/>
            <w:gridSpan w:val="7"/>
            <w:tcBorders>
              <w:bottom w:val="single" w:color="auto" w:sz="4" w:space="0"/>
            </w:tcBorders>
            <w:shd w:val="clear" w:color="auto" w:fill="FFFFFF"/>
            <w:vAlign w:val="center"/>
          </w:tcPr>
          <w:p>
            <w:pPr>
              <w:adjustRightInd w:val="0"/>
              <w:snapToGrid w:val="0"/>
              <w:spacing w:line="360" w:lineRule="auto"/>
              <w:ind w:left="-1" w:leftChars="-5" w:hanging="9" w:hangingChars="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整机可再</w:t>
            </w:r>
            <w:r>
              <w:rPr>
                <w:rFonts w:hint="eastAsia" w:ascii="仿宋" w:hAnsi="仿宋" w:eastAsia="仿宋" w:cs="仿宋"/>
                <w:color w:val="000000" w:themeColor="text1"/>
                <w:sz w:val="24"/>
                <w:szCs w:val="24"/>
                <w:lang w:eastAsia="zh-CN"/>
                <w14:textFill>
                  <w14:solidFill>
                    <w14:schemeClr w14:val="tx1"/>
                  </w14:solidFill>
                </w14:textFill>
              </w:rPr>
              <w:t>生</w:t>
            </w:r>
            <w:r>
              <w:rPr>
                <w:rFonts w:hint="eastAsia" w:ascii="仿宋" w:hAnsi="仿宋" w:eastAsia="仿宋" w:cs="仿宋"/>
                <w:color w:val="000000" w:themeColor="text1"/>
                <w:sz w:val="24"/>
                <w:szCs w:val="24"/>
                <w14:textFill>
                  <w14:solidFill>
                    <w14:schemeClr w14:val="tx1"/>
                  </w14:solidFill>
                </w14:textFill>
              </w:rPr>
              <w:t>利用率=整机【材质可再生利用质量】/整机质量*100%</w:t>
            </w:r>
          </w:p>
        </w:tc>
        <w:tc>
          <w:tcPr>
            <w:tcW w:w="1490" w:type="dxa"/>
            <w:tcBorders>
              <w:bottom w:val="single" w:color="auto" w:sz="4" w:space="0"/>
            </w:tcBorders>
            <w:shd w:val="clear" w:color="auto" w:fill="FFFFFF"/>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81" w:type="dxa"/>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说明</w:t>
            </w:r>
          </w:p>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（适用时）</w:t>
            </w:r>
          </w:p>
        </w:tc>
        <w:tc>
          <w:tcPr>
            <w:tcW w:w="7659" w:type="dxa"/>
            <w:gridSpan w:val="7"/>
            <w:vAlign w:val="center"/>
          </w:tcPr>
          <w:p>
            <w:pPr>
              <w:adjustRightInd w:val="0"/>
              <w:snapToGrid w:val="0"/>
              <w:spacing w:line="360" w:lineRule="auto"/>
              <w:ind w:left="-1" w:leftChars="-5" w:hanging="9" w:hangingChars="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示例：视同型号的理由、可再生利用率偏差等。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81" w:type="dxa"/>
            <w:vAlign w:val="center"/>
          </w:tcPr>
          <w:p>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结果判定</w:t>
            </w:r>
          </w:p>
        </w:tc>
        <w:tc>
          <w:tcPr>
            <w:tcW w:w="7659" w:type="dxa"/>
            <w:gridSpan w:val="7"/>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bl>
    <w:p>
      <w:pPr>
        <w:spacing w:line="360" w:lineRule="auto"/>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日期：                              测试：                           审核：</w:t>
      </w:r>
    </w:p>
    <w:p>
      <w:pPr>
        <w:spacing w:line="360" w:lineRule="auto"/>
        <w:rPr>
          <w:rFonts w:hint="eastAsia" w:ascii="仿宋" w:hAnsi="仿宋" w:eastAsia="仿宋" w:cs="仿宋"/>
          <w:color w:val="000000" w:themeColor="text1"/>
          <w:sz w:val="32"/>
          <w:szCs w:val="32"/>
          <w14:textFill>
            <w14:solidFill>
              <w14:schemeClr w14:val="tx1"/>
            </w14:solidFill>
          </w14:textFill>
        </w:rPr>
      </w:pPr>
    </w:p>
    <w:p>
      <w:pPr>
        <w:spacing w:line="360" w:lineRule="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br w:type="page"/>
      </w:r>
      <w:r>
        <w:rPr>
          <w:rFonts w:hint="eastAsia" w:ascii="仿宋" w:hAnsi="仿宋" w:eastAsia="仿宋" w:cs="仿宋"/>
          <w:b/>
          <w:bCs/>
          <w:color w:val="000000" w:themeColor="text1"/>
          <w:sz w:val="32"/>
          <w:szCs w:val="32"/>
          <w14:textFill>
            <w14:solidFill>
              <w14:schemeClr w14:val="tx1"/>
            </w14:solidFill>
          </w14:textFill>
        </w:rPr>
        <w:t xml:space="preserve">附录D </w:t>
      </w:r>
    </w:p>
    <w:p>
      <w:pPr>
        <w:spacing w:line="360" w:lineRule="auto"/>
        <w:ind w:firstLine="0" w:firstLineChars="0"/>
        <w:jc w:val="center"/>
        <w:rPr>
          <w:rFonts w:hint="eastAsia" w:ascii="仿宋" w:hAnsi="仿宋" w:eastAsia="仿宋" w:cs="仿宋"/>
          <w:b/>
          <w:bCs/>
          <w:color w:val="000000" w:themeColor="text1"/>
          <w:sz w:val="32"/>
          <w:szCs w:val="32"/>
          <w14:textFill>
            <w14:solidFill>
              <w14:schemeClr w14:val="tx1"/>
            </w14:solidFill>
          </w14:textFill>
        </w:rPr>
      </w:pPr>
    </w:p>
    <w:p>
      <w:pPr>
        <w:spacing w:line="360" w:lineRule="auto"/>
        <w:ind w:firstLine="0" w:firstLine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塑料比例计算方法</w:t>
      </w:r>
    </w:p>
    <w:p>
      <w:pPr>
        <w:pStyle w:val="17"/>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使用消费后再生塑料、生物基塑料或两者组合比例按</w:t>
      </w:r>
      <w:r>
        <w:rPr>
          <w:rFonts w:hint="eastAsia" w:ascii="仿宋" w:hAnsi="仿宋" w:eastAsia="仿宋" w:cs="仿宋"/>
          <w:color w:val="000000" w:themeColor="text1"/>
          <w:sz w:val="32"/>
          <w:szCs w:val="32"/>
          <w:lang w:eastAsia="zh-CN"/>
          <w14:textFill>
            <w14:solidFill>
              <w14:schemeClr w14:val="tx1"/>
            </w14:solidFill>
          </w14:textFill>
        </w:rPr>
        <w:t>下列公式</w:t>
      </w:r>
      <w:r>
        <w:rPr>
          <w:rFonts w:hint="eastAsia" w:ascii="仿宋" w:hAnsi="仿宋" w:eastAsia="仿宋" w:cs="仿宋"/>
          <w:color w:val="000000" w:themeColor="text1"/>
          <w:sz w:val="32"/>
          <w:szCs w:val="32"/>
          <w14:textFill>
            <w14:solidFill>
              <w14:schemeClr w14:val="tx1"/>
            </w14:solidFill>
          </w14:textFill>
        </w:rPr>
        <w:t>计算。</w:t>
      </w:r>
    </w:p>
    <w:p>
      <w:pPr>
        <w:autoSpaceDE w:val="0"/>
        <w:autoSpaceDN w:val="0"/>
        <w:spacing w:after="200" w:line="360" w:lineRule="auto"/>
        <w:ind w:firstLine="640" w:firstLineChars="20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drawing>
          <wp:inline distT="0" distB="0" distL="0" distR="0">
            <wp:extent cx="1344930" cy="637540"/>
            <wp:effectExtent l="0" t="0" r="7620" b="10795"/>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44930" cy="637540"/>
                    </a:xfrm>
                    <a:prstGeom prst="rect">
                      <a:avLst/>
                    </a:prstGeom>
                    <a:noFill/>
                    <a:ln>
                      <a:noFill/>
                    </a:ln>
                  </pic:spPr>
                </pic:pic>
              </a:graphicData>
            </a:graphic>
          </wp:inline>
        </w:drawing>
      </w:r>
      <w:r>
        <w:rPr>
          <w:rFonts w:hint="eastAsia" w:ascii="仿宋" w:hAnsi="仿宋" w:eastAsia="仿宋" w:cs="仿宋"/>
          <w:color w:val="000000" w:themeColor="text1"/>
          <w:sz w:val="32"/>
          <w:szCs w:val="32"/>
          <w14:textFill>
            <w14:solidFill>
              <w14:schemeClr w14:val="tx1"/>
            </w14:solidFill>
          </w14:textFill>
        </w:rPr>
        <w:t xml:space="preserve">                        </w:t>
      </w:r>
    </w:p>
    <w:p>
      <w:pPr>
        <w:autoSpaceDE w:val="0"/>
        <w:autoSpaceDN w:val="0"/>
        <w:spacing w:after="200"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式中：</w:t>
      </w:r>
    </w:p>
    <w:p>
      <w:pPr>
        <w:spacing w:line="360" w:lineRule="auto"/>
        <w:ind w:left="9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iCs/>
          <w:color w:val="000000" w:themeColor="text1"/>
          <w:sz w:val="32"/>
          <w:szCs w:val="32"/>
          <w14:textFill>
            <w14:solidFill>
              <w14:schemeClr w14:val="tx1"/>
            </w14:solidFill>
          </w14:textFill>
        </w:rPr>
        <w:t>R</w:t>
      </w:r>
      <w:r>
        <w:rPr>
          <w:rFonts w:hint="eastAsia" w:ascii="仿宋" w:hAnsi="仿宋" w:eastAsia="仿宋" w:cs="仿宋"/>
          <w:i/>
          <w:iCs/>
          <w:color w:val="000000" w:themeColor="text1"/>
          <w:sz w:val="32"/>
          <w:szCs w:val="32"/>
          <w:vertAlign w:val="subscript"/>
          <w14:textFill>
            <w14:solidFill>
              <w14:schemeClr w14:val="tx1"/>
            </w14:solidFill>
          </w14:textFill>
        </w:rPr>
        <w:t>rm</w:t>
      </w:r>
      <w:r>
        <w:rPr>
          <w:rFonts w:hint="eastAsia" w:ascii="仿宋" w:hAnsi="仿宋" w:eastAsia="仿宋" w:cs="仿宋"/>
          <w:color w:val="000000" w:themeColor="text1"/>
          <w:sz w:val="32"/>
          <w:szCs w:val="32"/>
          <w:vertAlign w:val="subscript"/>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使用消费后再生塑料、生物基塑料或两者组合比例</w:t>
      </w:r>
    </w:p>
    <w:p>
      <w:pPr>
        <w:spacing w:line="360" w:lineRule="auto"/>
        <w:ind w:left="9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m</w:t>
      </w:r>
      <w:r>
        <w:rPr>
          <w:rFonts w:hint="eastAsia" w:ascii="仿宋" w:hAnsi="仿宋" w:eastAsia="仿宋" w:cs="仿宋"/>
          <w:i/>
          <w:iCs/>
          <w:color w:val="000000" w:themeColor="text1"/>
          <w:sz w:val="32"/>
          <w:szCs w:val="32"/>
          <w:vertAlign w:val="subscript"/>
          <w14:textFill>
            <w14:solidFill>
              <w14:schemeClr w14:val="tx1"/>
            </w14:solidFill>
          </w14:textFill>
        </w:rPr>
        <w:t>rmi</w:t>
      </w:r>
      <w:r>
        <w:rPr>
          <w:rFonts w:hint="eastAsia" w:ascii="仿宋" w:hAnsi="仿宋" w:eastAsia="仿宋" w:cs="仿宋"/>
          <w:color w:val="000000" w:themeColor="text1"/>
          <w:sz w:val="32"/>
          <w:szCs w:val="32"/>
          <w:vertAlign w:val="subscript"/>
          <w14:textFill>
            <w14:solidFill>
              <w14:schemeClr w14:val="tx1"/>
            </w14:solidFill>
          </w14:textFill>
        </w:rPr>
        <w:t xml:space="preserve"> </w:t>
      </w:r>
      <w:r>
        <w:rPr>
          <w:rFonts w:hint="eastAsia" w:ascii="仿宋" w:hAnsi="仿宋" w:eastAsia="仿宋" w:cs="仿宋"/>
          <w:i/>
          <w:i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使用的第i种消费后再生塑料、生物基塑料或两者组合的质量，单位为千克（kg）</w:t>
      </w:r>
    </w:p>
    <w:p>
      <w:pPr>
        <w:spacing w:line="360" w:lineRule="auto"/>
        <w:ind w:left="9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m</w:t>
      </w:r>
      <w:r>
        <w:rPr>
          <w:rFonts w:hint="eastAsia" w:ascii="仿宋" w:hAnsi="仿宋" w:eastAsia="仿宋" w:cs="仿宋"/>
          <w:i/>
          <w:iCs/>
          <w:color w:val="000000" w:themeColor="text1"/>
          <w:sz w:val="32"/>
          <w:szCs w:val="32"/>
          <w:vertAlign w:val="subscript"/>
          <w14:textFill>
            <w14:solidFill>
              <w14:schemeClr w14:val="tx1"/>
            </w14:solidFill>
          </w14:textFill>
        </w:rPr>
        <w:t>v</w:t>
      </w:r>
      <w:r>
        <w:rPr>
          <w:rFonts w:hint="eastAsia" w:ascii="仿宋" w:hAnsi="仿宋" w:eastAsia="仿宋" w:cs="仿宋"/>
          <w:color w:val="000000" w:themeColor="text1"/>
          <w:sz w:val="32"/>
          <w:szCs w:val="32"/>
          <w:vertAlign w:val="subscript"/>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产品中塑料的总质量，单位为千克（kg）</w:t>
      </w:r>
    </w:p>
    <w:p>
      <w:pPr>
        <w:spacing w:line="360" w:lineRule="auto"/>
        <w:ind w:left="9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n</w:t>
      </w:r>
      <w:r>
        <w:rPr>
          <w:rFonts w:hint="eastAsia" w:ascii="仿宋" w:hAnsi="仿宋" w:eastAsia="仿宋" w:cs="仿宋"/>
          <w:i/>
          <w:i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使用消费后再生塑料、生物基塑料或两者组合的类别总数</w:t>
      </w:r>
    </w:p>
    <w:p>
      <w:pPr>
        <w:pStyle w:val="17"/>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2</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下列零（部）件中塑料的质量不包括在计算范围内： </w:t>
      </w:r>
    </w:p>
    <w:p>
      <w:pPr>
        <w:pStyle w:val="19"/>
        <w:numPr>
          <w:ilvl w:val="0"/>
          <w:numId w:val="6"/>
        </w:num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印刷电路板、电子元器件、光学元件、静电保护（ESD）器件、抗电磁干扰（EMI）器件、标签、电线电缆等。</w:t>
      </w:r>
    </w:p>
    <w:p>
      <w:pPr>
        <w:pStyle w:val="19"/>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用于加固设备的转轮和铰链等特殊部件。</w:t>
      </w:r>
    </w:p>
    <w:p>
      <w:pPr>
        <w:pStyle w:val="17"/>
        <w:spacing w:line="360" w:lineRule="auto"/>
        <w:rPr>
          <w:rFonts w:hint="eastAsia" w:ascii="仿宋" w:hAnsi="仿宋" w:eastAsia="仿宋" w:cs="仿宋"/>
          <w:color w:val="000000" w:themeColor="text1"/>
          <w:sz w:val="32"/>
          <w:szCs w:val="32"/>
          <w14:textFill>
            <w14:solidFill>
              <w14:schemeClr w14:val="tx1"/>
            </w14:solidFill>
          </w14:textFill>
        </w:rPr>
        <w:sectPr>
          <w:footerReference r:id="rId3" w:type="default"/>
          <w:pgSz w:w="11906" w:h="16838"/>
          <w:pgMar w:top="1701" w:right="1871" w:bottom="1701" w:left="1871" w:header="851" w:footer="992" w:gutter="0"/>
          <w:cols w:space="720" w:num="1"/>
          <w:docGrid w:type="lines" w:linePitch="312" w:charSpace="0"/>
        </w:sectPr>
      </w:pPr>
      <w:r>
        <w:rPr>
          <w:rFonts w:hint="eastAsia" w:ascii="仿宋" w:hAnsi="仿宋" w:eastAsia="仿宋" w:cs="仿宋"/>
          <w:color w:val="000000" w:themeColor="text1"/>
          <w:sz w:val="32"/>
          <w:szCs w:val="32"/>
          <w:lang w:eastAsia="zh-CN"/>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排除</w:t>
      </w:r>
      <w:r>
        <w:rPr>
          <w:rFonts w:hint="eastAsia" w:ascii="仿宋" w:hAnsi="仿宋" w:eastAsia="仿宋" w:cs="仿宋"/>
          <w:color w:val="000000" w:themeColor="text1"/>
          <w:sz w:val="32"/>
          <w:szCs w:val="32"/>
          <w:lang w:eastAsia="zh-CN"/>
          <w14:textFill>
            <w14:solidFill>
              <w14:schemeClr w14:val="tx1"/>
            </w14:solidFill>
          </w14:textFill>
        </w:rPr>
        <w:t>序号</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包含零部件后，产品中塑料总重量小于100 g，企业可声明产品“不适用”于本条款。</w:t>
      </w:r>
      <w:r>
        <w:rPr>
          <w:rFonts w:hint="eastAsia" w:ascii="仿宋" w:hAnsi="仿宋" w:eastAsia="仿宋" w:cs="仿宋"/>
          <w:color w:val="000000" w:themeColor="text1"/>
          <w:sz w:val="32"/>
          <w:szCs w:val="32"/>
          <w14:textFill>
            <w14:solidFill>
              <w14:schemeClr w14:val="tx1"/>
            </w14:solidFill>
          </w14:textFill>
        </w:rPr>
        <w:br w:type="page"/>
      </w:r>
      <w:bookmarkEnd w:id="17"/>
      <w:bookmarkStart w:id="18" w:name="_Toc76411684"/>
    </w:p>
    <w:p>
      <w:pPr>
        <w:widowControl/>
        <w:spacing w:line="360" w:lineRule="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 xml:space="preserve">附录E    </w:t>
      </w:r>
      <w:r>
        <w:rPr>
          <w:rFonts w:hint="eastAsia" w:ascii="仿宋" w:hAnsi="仿宋" w:eastAsia="仿宋" w:cs="仿宋"/>
          <w:b/>
          <w:bCs/>
          <w:color w:val="000000" w:themeColor="text1"/>
          <w:sz w:val="32"/>
          <w:szCs w:val="32"/>
          <w14:textFill>
            <w14:solidFill>
              <w14:schemeClr w14:val="tx1"/>
            </w14:solidFill>
          </w14:textFill>
        </w:rPr>
        <w:t xml:space="preserve"> </w:t>
      </w:r>
    </w:p>
    <w:p>
      <w:pPr>
        <w:widowControl/>
        <w:spacing w:line="360" w:lineRule="auto"/>
        <w:jc w:val="center"/>
        <w:rPr>
          <w:rFonts w:hint="eastAsia" w:ascii="仿宋" w:hAnsi="仿宋" w:eastAsia="仿宋" w:cs="仿宋"/>
          <w:b/>
          <w:bCs/>
          <w:color w:val="000000" w:themeColor="text1"/>
          <w:sz w:val="32"/>
          <w:szCs w:val="32"/>
          <w14:textFill>
            <w14:solidFill>
              <w14:schemeClr w14:val="tx1"/>
            </w14:solidFill>
          </w14:textFill>
        </w:rPr>
      </w:pPr>
    </w:p>
    <w:p>
      <w:pPr>
        <w:widowControl/>
        <w:spacing w:line="360" w:lineRule="auto"/>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以</w:t>
      </w:r>
      <w:r>
        <w:rPr>
          <w:rFonts w:hint="eastAsia" w:ascii="仿宋" w:hAnsi="仿宋" w:eastAsia="仿宋" w:cs="仿宋"/>
          <w:b/>
          <w:bCs/>
          <w:color w:val="000000" w:themeColor="text1"/>
          <w:sz w:val="32"/>
          <w:szCs w:val="32"/>
          <w14:textFill>
            <w14:solidFill>
              <w14:schemeClr w14:val="tx1"/>
            </w14:solidFill>
          </w14:textFill>
        </w:rPr>
        <w:t>太网交换能效比值计算公式</w:t>
      </w:r>
    </w:p>
    <w:p>
      <w:pPr>
        <w:widowControl/>
        <w:spacing w:line="360" w:lineRule="auto"/>
        <w:jc w:val="left"/>
        <w:rPr>
          <w:rFonts w:hint="eastAsia" w:ascii="仿宋" w:hAnsi="仿宋" w:eastAsia="仿宋" w:cs="仿宋"/>
          <w:color w:val="000000" w:themeColor="text1"/>
          <w:sz w:val="32"/>
          <w:szCs w:val="32"/>
          <w14:textFill>
            <w14:solidFill>
              <w14:schemeClr w14:val="tx1"/>
            </w14:solidFill>
          </w14:textFill>
        </w:rPr>
      </w:pPr>
    </w:p>
    <w:p>
      <w:pPr>
        <w:widowControl/>
        <w:spacing w:line="360" w:lineRule="auto"/>
        <w:jc w:val="left"/>
        <w:rPr>
          <w:rFonts w:hint="eastAsia" w:ascii="仿宋" w:hAnsi="仿宋" w:eastAsia="仿宋" w:cs="仿宋"/>
          <w:color w:val="000000" w:themeColor="text1"/>
          <w:sz w:val="32"/>
          <w:szCs w:val="32"/>
          <w14:textFill>
            <w14:solidFill>
              <w14:schemeClr w14:val="tx1"/>
            </w14:solidFill>
          </w14:textFill>
        </w:rPr>
      </w:pPr>
    </w:p>
    <w:p>
      <w:pPr>
        <w:autoSpaceDE w:val="0"/>
        <w:autoSpaceDN w:val="0"/>
        <w:adjustRightInd w:val="0"/>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以太交换机</w:t>
      </w:r>
      <w:r>
        <w:rPr>
          <w:rFonts w:hint="eastAsia" w:ascii="仿宋" w:hAnsi="仿宋" w:eastAsia="仿宋" w:cs="仿宋"/>
          <w:color w:val="000000" w:themeColor="text1"/>
          <w:sz w:val="32"/>
          <w:szCs w:val="32"/>
          <w14:textFill>
            <w14:solidFill>
              <w14:schemeClr w14:val="tx1"/>
            </w14:solidFill>
          </w14:textFill>
        </w:rPr>
        <w:t>计算公式如下:</w:t>
      </w:r>
    </w:p>
    <w:p>
      <w:pPr>
        <w:autoSpaceDE w:val="0"/>
        <w:autoSpaceDN w:val="0"/>
        <w:adjustRightInd w:val="0"/>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autoSpaceDE w:val="0"/>
        <w:autoSpaceDN w:val="0"/>
        <w:adjustRightInd w:val="0"/>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m:oMathPara>
        <m:oMath>
          <m:r>
            <w:rPr>
              <w:rFonts w:hint="eastAsia" w:ascii="Cambria Math" w:hAnsi="Cambria Math" w:eastAsia="仿宋" w:cs="仿宋"/>
              <w:kern w:val="0"/>
              <w:sz w:val="32"/>
              <w:szCs w:val="32"/>
            </w:rPr>
            <m:t>TEER</m:t>
          </m:r>
          <m:r>
            <m:rPr>
              <m:sty m:val="p"/>
            </m:rPr>
            <w:rPr>
              <w:rFonts w:hint="eastAsia" w:ascii="Cambria Math" w:hAnsi="Cambria Math" w:eastAsia="仿宋" w:cs="仿宋"/>
              <w:kern w:val="0"/>
              <w:sz w:val="32"/>
              <w:szCs w:val="32"/>
            </w:rPr>
            <m:t>=</m:t>
          </m:r>
          <m:f>
            <m:fPr>
              <m:ctrlPr>
                <w:rPr>
                  <w:rFonts w:hint="eastAsia" w:ascii="Cambria Math" w:hAnsi="Cambria Math" w:eastAsia="仿宋" w:cs="仿宋"/>
                  <w:kern w:val="0"/>
                  <w:sz w:val="32"/>
                  <w:szCs w:val="32"/>
                </w:rPr>
              </m:ctrlPr>
            </m:fPr>
            <m:num>
              <m:sSub>
                <m:sSubPr>
                  <m:ctrlPr>
                    <w:rPr>
                      <w:rFonts w:hint="eastAsia" w:ascii="Cambria Math" w:hAnsi="Cambria Math" w:eastAsia="仿宋" w:cs="仿宋"/>
                      <w:i/>
                      <w:kern w:val="0"/>
                      <w:sz w:val="32"/>
                      <w:szCs w:val="32"/>
                    </w:rPr>
                  </m:ctrlPr>
                </m:sSubPr>
                <m:e>
                  <m:r>
                    <w:rPr>
                      <w:rFonts w:hint="eastAsia" w:ascii="Cambria Math" w:hAnsi="Cambria Math" w:eastAsia="仿宋" w:cs="仿宋"/>
                      <w:kern w:val="0"/>
                      <w:sz w:val="32"/>
                      <w:szCs w:val="32"/>
                    </w:rPr>
                    <m:t>T</m:t>
                  </m:r>
                  <m:ctrlPr>
                    <w:rPr>
                      <w:rFonts w:hint="eastAsia" w:ascii="Cambria Math" w:hAnsi="Cambria Math" w:eastAsia="仿宋" w:cs="仿宋"/>
                      <w:i/>
                      <w:kern w:val="0"/>
                      <w:sz w:val="32"/>
                      <w:szCs w:val="32"/>
                    </w:rPr>
                  </m:ctrlPr>
                </m:e>
                <m:sub>
                  <m:r>
                    <w:rPr>
                      <w:rFonts w:hint="eastAsia" w:ascii="Cambria Math" w:hAnsi="Cambria Math" w:eastAsia="仿宋" w:cs="仿宋"/>
                      <w:kern w:val="0"/>
                      <w:sz w:val="32"/>
                      <w:szCs w:val="32"/>
                    </w:rPr>
                    <m:t>d</m:t>
                  </m:r>
                  <m:ctrlPr>
                    <w:rPr>
                      <w:rFonts w:hint="eastAsia" w:ascii="Cambria Math" w:hAnsi="Cambria Math" w:eastAsia="仿宋" w:cs="仿宋"/>
                      <w:i/>
                      <w:kern w:val="0"/>
                      <w:sz w:val="32"/>
                      <w:szCs w:val="32"/>
                    </w:rPr>
                  </m:ctrlPr>
                </m:sub>
              </m:sSub>
              <m:ctrlPr>
                <w:rPr>
                  <w:rFonts w:hint="eastAsia" w:ascii="Cambria Math" w:hAnsi="Cambria Math" w:eastAsia="仿宋" w:cs="仿宋"/>
                  <w:kern w:val="0"/>
                  <w:sz w:val="32"/>
                  <w:szCs w:val="32"/>
                </w:rPr>
              </m:ctrlPr>
            </m:num>
            <m:den>
              <m:sSub>
                <m:sSubPr>
                  <m:ctrlPr>
                    <w:rPr>
                      <w:rFonts w:hint="eastAsia" w:ascii="Cambria Math" w:hAnsi="Cambria Math" w:eastAsia="仿宋" w:cs="仿宋"/>
                      <w:kern w:val="0"/>
                      <w:sz w:val="32"/>
                      <w:szCs w:val="32"/>
                    </w:rPr>
                  </m:ctrlPr>
                </m:sSubPr>
                <m:e>
                  <m:r>
                    <w:rPr>
                      <w:rFonts w:hint="eastAsia" w:ascii="Cambria Math" w:hAnsi="Cambria Math" w:eastAsia="仿宋" w:cs="仿宋"/>
                      <w:kern w:val="0"/>
                      <w:sz w:val="32"/>
                      <w:szCs w:val="32"/>
                    </w:rPr>
                    <m:t>P</m:t>
                  </m:r>
                  <m:ctrlPr>
                    <w:rPr>
                      <w:rFonts w:hint="eastAsia" w:ascii="Cambria Math" w:hAnsi="Cambria Math" w:eastAsia="仿宋" w:cs="仿宋"/>
                      <w:kern w:val="0"/>
                      <w:sz w:val="32"/>
                      <w:szCs w:val="32"/>
                    </w:rPr>
                  </m:ctrlPr>
                </m:e>
                <m:sub>
                  <m:r>
                    <w:rPr>
                      <w:rFonts w:hint="eastAsia" w:ascii="Cambria Math" w:hAnsi="Cambria Math" w:eastAsia="仿宋" w:cs="仿宋"/>
                      <w:kern w:val="0"/>
                      <w:sz w:val="32"/>
                      <w:szCs w:val="32"/>
                    </w:rPr>
                    <m:t>w</m:t>
                  </m:r>
                  <m:ctrlPr>
                    <w:rPr>
                      <w:rFonts w:hint="eastAsia" w:ascii="Cambria Math" w:hAnsi="Cambria Math" w:eastAsia="仿宋" w:cs="仿宋"/>
                      <w:kern w:val="0"/>
                      <w:sz w:val="32"/>
                      <w:szCs w:val="32"/>
                    </w:rPr>
                  </m:ctrlPr>
                </m:sub>
              </m:sSub>
              <m:ctrlPr>
                <w:rPr>
                  <w:rFonts w:hint="eastAsia" w:ascii="Cambria Math" w:hAnsi="Cambria Math" w:eastAsia="仿宋" w:cs="仿宋"/>
                  <w:kern w:val="0"/>
                  <w:sz w:val="32"/>
                  <w:szCs w:val="32"/>
                </w:rPr>
              </m:ctrlPr>
            </m:den>
          </m:f>
          <m:r>
            <w:rPr>
              <w:rFonts w:hint="eastAsia" w:ascii="Cambria Math" w:hAnsi="Cambria Math" w:eastAsia="仿宋" w:cs="仿宋"/>
              <w:kern w:val="0"/>
              <w:sz w:val="32"/>
              <w:szCs w:val="32"/>
            </w:rPr>
            <m:t xml:space="preserve">  </m:t>
          </m:r>
        </m:oMath>
      </m:oMathPara>
    </w:p>
    <w:p>
      <w:pPr>
        <w:autoSpaceDE w:val="0"/>
        <w:autoSpaceDN w:val="0"/>
        <w:adjustRightInd w:val="0"/>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autoSpaceDE w:val="0"/>
        <w:autoSpaceDN w:val="0"/>
        <w:adjustRightInd w:val="0"/>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上式中，</w:t>
      </w:r>
    </w:p>
    <w:p>
      <w:pPr>
        <w:pStyle w:val="15"/>
        <w:widowControl w:val="0"/>
        <w:numPr>
          <w:ilvl w:val="0"/>
          <w:numId w:val="7"/>
        </w:numPr>
        <w:autoSpaceDE w:val="0"/>
        <w:autoSpaceDN w:val="0"/>
        <w:adjustRightInd w:val="0"/>
        <w:spacing w:after="0" w:line="360" w:lineRule="auto"/>
        <w:ind w:right="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TEER是最大通吐量 (Td) 与设备加权功耗（Pw)的比值，单位Mbps/w</w:t>
      </w:r>
    </w:p>
    <w:p>
      <w:pPr>
        <w:pStyle w:val="15"/>
        <w:widowControl w:val="0"/>
        <w:numPr>
          <w:ilvl w:val="0"/>
          <w:numId w:val="7"/>
        </w:numPr>
        <w:autoSpaceDE w:val="0"/>
        <w:autoSpaceDN w:val="0"/>
        <w:adjustRightInd w:val="0"/>
        <w:spacing w:after="0" w:line="360" w:lineRule="auto"/>
        <w:ind w:right="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Td 为待测设备的最大通吐量，单位Mbps</w:t>
      </w:r>
    </w:p>
    <w:p>
      <w:pPr>
        <w:pStyle w:val="15"/>
        <w:widowControl w:val="0"/>
        <w:numPr>
          <w:ilvl w:val="0"/>
          <w:numId w:val="7"/>
        </w:numPr>
        <w:autoSpaceDE w:val="0"/>
        <w:autoSpaceDN w:val="0"/>
        <w:adjustRightInd w:val="0"/>
        <w:spacing w:after="0" w:line="360" w:lineRule="auto"/>
        <w:ind w:right="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Pw为待测设备的加权功耗，单位W</w:t>
      </w:r>
    </w:p>
    <w:p>
      <w:pPr>
        <w:autoSpaceDE w:val="0"/>
        <w:autoSpaceDN w:val="0"/>
        <w:adjustRightInd w:val="0"/>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p>
    <w:p>
      <w:pPr>
        <w:autoSpaceDE w:val="0"/>
        <w:autoSpaceDN w:val="0"/>
        <w:adjustRightInd w:val="0"/>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加权功耗（</w:t>
      </w:r>
      <w:r>
        <w:rPr>
          <w:rFonts w:hint="eastAsia" w:ascii="仿宋" w:hAnsi="仿宋" w:eastAsia="仿宋" w:cs="仿宋"/>
          <w:color w:val="000000" w:themeColor="text1"/>
          <w:kern w:val="0"/>
          <w:sz w:val="32"/>
          <w:szCs w:val="32"/>
          <w14:textFill>
            <w14:solidFill>
              <w14:schemeClr w14:val="tx1"/>
            </w14:solidFill>
          </w14:textFill>
        </w:rPr>
        <w:t>Pw</w:t>
      </w:r>
      <w:r>
        <w:rPr>
          <w:rFonts w:hint="eastAsia" w:ascii="仿宋" w:hAnsi="仿宋" w:eastAsia="仿宋" w:cs="仿宋"/>
          <w:color w:val="000000" w:themeColor="text1"/>
          <w:sz w:val="32"/>
          <w:szCs w:val="32"/>
          <w14:textFill>
            <w14:solidFill>
              <w14:schemeClr w14:val="tx1"/>
            </w14:solidFill>
          </w14:textFill>
        </w:rPr>
        <w:t>）通过下式进行计算：</w:t>
      </w:r>
    </w:p>
    <w:p>
      <w:pPr>
        <w:autoSpaceDE w:val="0"/>
        <w:autoSpaceDN w:val="0"/>
        <w:adjustRightInd w:val="0"/>
        <w:spacing w:line="360" w:lineRule="auto"/>
        <w:ind w:firstLine="640" w:firstLineChars="200"/>
        <w:rPr>
          <w:rFonts w:hint="eastAsia" w:ascii="仿宋" w:hAnsi="仿宋" w:eastAsia="仿宋" w:cs="仿宋"/>
          <w:sz w:val="32"/>
          <w:szCs w:val="32"/>
          <w:lang w:eastAsia="zh-CN"/>
        </w:rPr>
      </w:pPr>
      <m:oMathPara>
        <m:oMathParaPr>
          <m:jc m:val="center"/>
        </m:oMathParaPr>
        <m:oMath>
          <m:r>
            <w:rPr>
              <w:rFonts w:hint="eastAsia" w:ascii="Cambria Math" w:hAnsi="Cambria Math" w:eastAsia="仿宋" w:cs="仿宋"/>
              <w:sz w:val="32"/>
              <w:szCs w:val="32"/>
            </w:rPr>
            <w:drawing>
              <wp:inline distT="0" distB="0" distL="114300" distR="114300">
                <wp:extent cx="1743075" cy="228600"/>
                <wp:effectExtent l="0" t="0" r="9525" b="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7"/>
                        <a:stretch>
                          <a:fillRect/>
                        </a:stretch>
                      </pic:blipFill>
                      <pic:spPr>
                        <a:xfrm>
                          <a:off x="0" y="0"/>
                          <a:ext cx="1743075" cy="228600"/>
                        </a:xfrm>
                        <a:prstGeom prst="rect">
                          <a:avLst/>
                        </a:prstGeom>
                        <a:noFill/>
                        <a:ln>
                          <a:noFill/>
                        </a:ln>
                      </pic:spPr>
                    </pic:pic>
                  </a:graphicData>
                </a:graphic>
              </wp:inline>
            </w:drawing>
          </m:r>
        </m:oMath>
      </m:oMathPara>
    </w:p>
    <w:p>
      <w:pPr>
        <w:autoSpaceDE w:val="0"/>
        <w:autoSpaceDN w:val="0"/>
        <w:adjustRightInd w:val="0"/>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上式中，</w:t>
      </w:r>
    </w:p>
    <w:p>
      <w:pPr>
        <w:pStyle w:val="15"/>
        <w:widowControl w:val="0"/>
        <w:numPr>
          <w:ilvl w:val="0"/>
          <w:numId w:val="7"/>
        </w:numPr>
        <w:autoSpaceDE w:val="0"/>
        <w:autoSpaceDN w:val="0"/>
        <w:adjustRightInd w:val="0"/>
        <w:spacing w:after="0" w:line="360" w:lineRule="auto"/>
        <w:ind w:right="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Pw为待测设备的加权功耗</w:t>
      </w:r>
    </w:p>
    <w:p>
      <w:pPr>
        <w:pStyle w:val="15"/>
        <w:widowControl w:val="0"/>
        <w:numPr>
          <w:ilvl w:val="0"/>
          <w:numId w:val="7"/>
        </w:numPr>
        <w:autoSpaceDE w:val="0"/>
        <w:autoSpaceDN w:val="0"/>
        <w:adjustRightInd w:val="0"/>
        <w:spacing w:after="0" w:line="360" w:lineRule="auto"/>
        <w:ind w:right="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（a,b,c）为设备在每一使用负载上的加权值，其中a + b + c=1.0</w:t>
      </w:r>
    </w:p>
    <w:p>
      <w:pPr>
        <w:pStyle w:val="15"/>
        <w:widowControl w:val="0"/>
        <w:numPr>
          <w:ilvl w:val="0"/>
          <w:numId w:val="7"/>
        </w:numPr>
        <w:autoSpaceDE w:val="0"/>
        <w:autoSpaceDN w:val="0"/>
        <w:adjustRightInd w:val="0"/>
        <w:spacing w:after="0" w:line="360" w:lineRule="auto"/>
        <w:ind w:right="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(Pu1,Pu2, Pu3)为在不同使用负载上的功率</w:t>
      </w:r>
    </w:p>
    <w:p>
      <w:pPr>
        <w:autoSpaceDE w:val="0"/>
        <w:autoSpaceDN w:val="0"/>
        <w:adjustRightInd w:val="0"/>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其中，加权值</w:t>
      </w:r>
      <w:r>
        <w:rPr>
          <w:rFonts w:hint="eastAsia" w:ascii="仿宋" w:hAnsi="仿宋" w:eastAsia="仿宋" w:cs="仿宋"/>
          <w:color w:val="000000" w:themeColor="text1"/>
          <w:kern w:val="0"/>
          <w:sz w:val="32"/>
          <w:szCs w:val="32"/>
          <w14:textFill>
            <w14:solidFill>
              <w14:schemeClr w14:val="tx1"/>
            </w14:solidFill>
          </w14:textFill>
        </w:rPr>
        <w:t>（a,b,c）及使用负载(u1, u2, u3)依设备类型的不同而不同，具体定义如下：</w:t>
      </w:r>
    </w:p>
    <w:p>
      <w:pPr>
        <w:autoSpaceDE w:val="0"/>
        <w:autoSpaceDN w:val="0"/>
        <w:adjustRightInd w:val="0"/>
        <w:spacing w:line="360" w:lineRule="auto"/>
        <w:ind w:firstLine="643" w:firstLineChars="200"/>
        <w:jc w:val="center"/>
        <w:rPr>
          <w:rFonts w:hint="eastAsia" w:ascii="仿宋" w:hAnsi="仿宋" w:eastAsia="仿宋" w:cs="仿宋"/>
          <w:b/>
          <w:color w:val="000000" w:themeColor="text1"/>
          <w:sz w:val="32"/>
          <w:szCs w:val="32"/>
          <w14:textFill>
            <w14:solidFill>
              <w14:schemeClr w14:val="tx1"/>
            </w14:solidFill>
          </w14:textFill>
        </w:rPr>
      </w:pPr>
    </w:p>
    <w:p>
      <w:pPr>
        <w:autoSpaceDE w:val="0"/>
        <w:autoSpaceDN w:val="0"/>
        <w:adjustRightInd w:val="0"/>
        <w:spacing w:line="360" w:lineRule="auto"/>
        <w:ind w:firstLine="0" w:firstLineChars="0"/>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以太网交换机的设备分类及负载水平</w:t>
      </w:r>
    </w:p>
    <w:tbl>
      <w:tblPr>
        <w:tblStyle w:val="8"/>
        <w:tblW w:w="82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2268"/>
        <w:gridCol w:w="2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7"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设备类别</w:t>
            </w:r>
            <w:r>
              <w:rPr>
                <w:rFonts w:hint="eastAsia" w:ascii="仿宋" w:hAnsi="仿宋" w:eastAsia="仿宋" w:cs="仿宋"/>
                <w:color w:val="000000" w:themeColor="text1"/>
                <w:sz w:val="24"/>
                <w:szCs w:val="24"/>
                <w:vertAlign w:val="superscript"/>
                <w14:textFill>
                  <w14:solidFill>
                    <w14:schemeClr w14:val="tx1"/>
                  </w14:solidFill>
                </w14:textFill>
              </w:rPr>
              <w:t>注</w:t>
            </w:r>
          </w:p>
        </w:tc>
        <w:tc>
          <w:tcPr>
            <w:tcW w:w="2268"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负载比例</w:t>
            </w:r>
          </w:p>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u1, u2, u3</w:t>
            </w:r>
          </w:p>
        </w:tc>
        <w:tc>
          <w:tcPr>
            <w:tcW w:w="2584"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权重</w:t>
            </w:r>
          </w:p>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a,b,c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7" w:type="dxa"/>
            <w:shd w:val="clear" w:color="auto" w:fill="auto"/>
          </w:tcPr>
          <w:p>
            <w:pPr>
              <w:autoSpaceDE w:val="0"/>
              <w:autoSpaceDN w:val="0"/>
              <w:adjustRightIn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接入（Access）</w:t>
            </w:r>
          </w:p>
        </w:tc>
        <w:tc>
          <w:tcPr>
            <w:tcW w:w="2268"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0;10;100</w:t>
            </w:r>
          </w:p>
        </w:tc>
        <w:tc>
          <w:tcPr>
            <w:tcW w:w="2584"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a=0.1; b=0.8; c=0.1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7" w:type="dxa"/>
            <w:shd w:val="clear" w:color="auto" w:fill="auto"/>
          </w:tcPr>
          <w:p>
            <w:pPr>
              <w:autoSpaceDE w:val="0"/>
              <w:autoSpaceDN w:val="0"/>
              <w:adjustRightIn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高速接入（High Speed Access）</w:t>
            </w:r>
          </w:p>
        </w:tc>
        <w:tc>
          <w:tcPr>
            <w:tcW w:w="2268"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0;10;100</w:t>
            </w:r>
          </w:p>
        </w:tc>
        <w:tc>
          <w:tcPr>
            <w:tcW w:w="2584"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a=0.1; b=0.8; c=0.1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7" w:type="dxa"/>
            <w:shd w:val="clear" w:color="auto" w:fill="auto"/>
          </w:tcPr>
          <w:p>
            <w:pPr>
              <w:autoSpaceDE w:val="0"/>
              <w:autoSpaceDN w:val="0"/>
              <w:adjustRightIn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分布Distribution/Aggregation</w:t>
            </w:r>
          </w:p>
        </w:tc>
        <w:tc>
          <w:tcPr>
            <w:tcW w:w="2268"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0;10;100</w:t>
            </w:r>
          </w:p>
        </w:tc>
        <w:tc>
          <w:tcPr>
            <w:tcW w:w="2584"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a=0.1; b=0.8; c=0.1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7" w:type="dxa"/>
            <w:shd w:val="clear" w:color="auto" w:fill="auto"/>
          </w:tcPr>
          <w:p>
            <w:pPr>
              <w:autoSpaceDE w:val="0"/>
              <w:autoSpaceDN w:val="0"/>
              <w:adjustRightIn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数据中心（Data Center）</w:t>
            </w:r>
          </w:p>
        </w:tc>
        <w:tc>
          <w:tcPr>
            <w:tcW w:w="2268"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0;30;100</w:t>
            </w:r>
          </w:p>
        </w:tc>
        <w:tc>
          <w:tcPr>
            <w:tcW w:w="2584"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a=0.1; b=0.8; c=0.1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7" w:type="dxa"/>
            <w:shd w:val="clear" w:color="auto" w:fill="auto"/>
          </w:tcPr>
          <w:p>
            <w:pPr>
              <w:autoSpaceDE w:val="0"/>
              <w:autoSpaceDN w:val="0"/>
              <w:adjustRightIn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核心（Core）</w:t>
            </w:r>
          </w:p>
        </w:tc>
        <w:tc>
          <w:tcPr>
            <w:tcW w:w="2268"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0;30;100</w:t>
            </w:r>
          </w:p>
        </w:tc>
        <w:tc>
          <w:tcPr>
            <w:tcW w:w="2584" w:type="dxa"/>
            <w:shd w:val="clear" w:color="auto" w:fill="auto"/>
          </w:tcPr>
          <w:p>
            <w:pPr>
              <w:autoSpaceDE w:val="0"/>
              <w:autoSpaceDN w:val="0"/>
              <w:adjustRightIn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a=0.1; b=0.8; c=0.1</w:t>
            </w:r>
          </w:p>
        </w:tc>
      </w:tr>
    </w:tbl>
    <w:p>
      <w:pPr>
        <w:autoSpaceDE w:val="0"/>
        <w:autoSpaceDN w:val="0"/>
        <w:adjustRightIn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注：设备类别的定义参考ATIS-0600015.03.2016的表A.2</w:t>
      </w:r>
    </w:p>
    <w:p>
      <w:pPr>
        <w:widowControl/>
        <w:spacing w:line="360" w:lineRule="auto"/>
        <w:jc w:val="left"/>
        <w:rPr>
          <w:rFonts w:hint="eastAsia" w:ascii="仿宋" w:hAnsi="仿宋" w:eastAsia="仿宋" w:cs="仿宋"/>
          <w:b/>
          <w:bCs/>
          <w:color w:val="000000" w:themeColor="text1"/>
          <w:sz w:val="32"/>
          <w:szCs w:val="32"/>
          <w14:textFill>
            <w14:solidFill>
              <w14:schemeClr w14:val="tx1"/>
            </w14:solidFill>
          </w14:textFill>
        </w:rPr>
        <w:sectPr>
          <w:pgSz w:w="11906" w:h="16838"/>
          <w:pgMar w:top="1701" w:right="1871" w:bottom="1701" w:left="1871" w:header="851" w:footer="992" w:gutter="0"/>
          <w:cols w:space="720" w:num="1"/>
          <w:docGrid w:type="lines" w:linePitch="312" w:charSpace="0"/>
        </w:sectPr>
      </w:pPr>
    </w:p>
    <w:p>
      <w:pPr>
        <w:widowControl/>
        <w:spacing w:line="360" w:lineRule="auto"/>
        <w:jc w:val="left"/>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附录</w:t>
      </w:r>
      <w:r>
        <w:rPr>
          <w:rFonts w:hint="eastAsia" w:ascii="仿宋" w:hAnsi="仿宋" w:eastAsia="仿宋" w:cs="仿宋"/>
          <w:b/>
          <w:bCs/>
          <w:color w:val="000000" w:themeColor="text1"/>
          <w:sz w:val="32"/>
          <w:szCs w:val="32"/>
          <w:lang w:val="en-US" w:eastAsia="zh-CN"/>
          <w14:textFill>
            <w14:solidFill>
              <w14:schemeClr w14:val="tx1"/>
            </w14:solidFill>
          </w14:textFill>
        </w:rPr>
        <w:t>F</w:t>
      </w:r>
    </w:p>
    <w:p>
      <w:pPr>
        <w:widowControl/>
        <w:spacing w:line="360" w:lineRule="auto"/>
        <w:ind w:firstLine="0" w:firstLineChars="0"/>
        <w:jc w:val="center"/>
        <w:rPr>
          <w:rFonts w:hint="eastAsia" w:ascii="仿宋" w:hAnsi="仿宋" w:eastAsia="仿宋" w:cs="仿宋"/>
          <w:b/>
          <w:bCs/>
          <w:color w:val="000000" w:themeColor="text1"/>
          <w:sz w:val="32"/>
          <w:szCs w:val="32"/>
          <w14:textFill>
            <w14:solidFill>
              <w14:schemeClr w14:val="tx1"/>
            </w14:solidFill>
          </w14:textFill>
        </w:rPr>
      </w:pPr>
    </w:p>
    <w:p>
      <w:pPr>
        <w:widowControl/>
        <w:spacing w:line="360" w:lineRule="auto"/>
        <w:ind w:firstLine="0" w:firstLine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轻量化指标（功耗/吞吐量）测试方法</w:t>
      </w:r>
    </w:p>
    <w:p>
      <w:pPr>
        <w:autoSpaceDE w:val="0"/>
        <w:autoSpaceDN w:val="0"/>
        <w:adjustRightInd w:val="0"/>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轻量化指标（功耗/吞吐量）的测试基本要求、测试方法按照YD/T2443中5.1、5.2及5.3.1的1-2)、7-8）进行。</w:t>
      </w:r>
    </w:p>
    <w:p>
      <w:pPr>
        <w:autoSpaceDE w:val="0"/>
        <w:autoSpaceDN w:val="0"/>
        <w:adjustRightInd w:val="0"/>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 xml:space="preserve"> 采用测量仪表自带的RFC2544测试套进行测试，测试过程采用 64 字节小包模型，测试防火墙的IPv4最大吞吐量 T（单位：Gbit/s）。</w:t>
      </w:r>
    </w:p>
    <w:p>
      <w:pPr>
        <w:widowControl/>
        <w:spacing w:line="360" w:lineRule="auto"/>
        <w:jc w:val="left"/>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br w:type="page"/>
      </w:r>
      <w:r>
        <w:rPr>
          <w:rFonts w:hint="eastAsia" w:ascii="仿宋" w:hAnsi="仿宋" w:eastAsia="仿宋" w:cs="仿宋"/>
          <w:b/>
          <w:bCs/>
          <w:color w:val="000000" w:themeColor="text1"/>
          <w:sz w:val="32"/>
          <w:szCs w:val="32"/>
          <w14:textFill>
            <w14:solidFill>
              <w14:schemeClr w14:val="tx1"/>
            </w14:solidFill>
          </w14:textFill>
        </w:rPr>
        <w:t>附录</w:t>
      </w:r>
      <w:r>
        <w:rPr>
          <w:rFonts w:hint="eastAsia" w:ascii="仿宋" w:hAnsi="仿宋" w:eastAsia="仿宋" w:cs="仿宋"/>
          <w:b/>
          <w:bCs/>
          <w:color w:val="000000" w:themeColor="text1"/>
          <w:sz w:val="32"/>
          <w:szCs w:val="32"/>
          <w:lang w:val="en-US" w:eastAsia="zh-CN"/>
          <w14:textFill>
            <w14:solidFill>
              <w14:schemeClr w14:val="tx1"/>
            </w14:solidFill>
          </w14:textFill>
        </w:rPr>
        <w:t>G</w:t>
      </w:r>
      <w:r>
        <w:rPr>
          <w:rFonts w:hint="eastAsia" w:ascii="仿宋" w:hAnsi="仿宋" w:eastAsia="仿宋" w:cs="仿宋"/>
          <w:b/>
          <w:bCs/>
          <w:color w:val="000000" w:themeColor="text1"/>
          <w:sz w:val="32"/>
          <w:szCs w:val="32"/>
          <w14:textFill>
            <w14:solidFill>
              <w14:schemeClr w14:val="tx1"/>
            </w14:solidFill>
          </w14:textFill>
        </w:rPr>
        <w:t xml:space="preserve"> </w:t>
      </w:r>
    </w:p>
    <w:p>
      <w:pPr>
        <w:widowControl/>
        <w:spacing w:line="360" w:lineRule="auto"/>
        <w:ind w:firstLine="3534" w:firstLineChars="1100"/>
        <w:jc w:val="left"/>
        <w:rPr>
          <w:rFonts w:hint="eastAsia" w:ascii="仿宋" w:hAnsi="仿宋" w:eastAsia="仿宋" w:cs="仿宋"/>
          <w:b/>
          <w:bCs/>
          <w:color w:val="000000" w:themeColor="text1"/>
          <w:sz w:val="32"/>
          <w:szCs w:val="32"/>
          <w14:textFill>
            <w14:solidFill>
              <w14:schemeClr w14:val="tx1"/>
            </w14:solidFill>
          </w14:textFill>
        </w:rPr>
      </w:pPr>
    </w:p>
    <w:p>
      <w:pPr>
        <w:widowControl/>
        <w:spacing w:line="360" w:lineRule="auto"/>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柴油发电机组在额定工况下的油耗限值测试方法</w:t>
      </w:r>
    </w:p>
    <w:p>
      <w:pPr>
        <w:spacing w:line="360" w:lineRule="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1</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测量燃油消耗率程序</w:t>
      </w:r>
    </w:p>
    <w:p>
      <w:pPr>
        <w:pStyle w:val="15"/>
        <w:spacing w:after="0" w:line="360" w:lineRule="auto"/>
        <w:ind w:left="0" w:right="0" w:firstLine="0" w:firstLine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（1）启动并调节负载量使柴油发电机组在额定工况下运行。</w:t>
      </w:r>
    </w:p>
    <w:p>
      <w:pPr>
        <w:pStyle w:val="15"/>
        <w:spacing w:after="0" w:line="360" w:lineRule="auto"/>
        <w:ind w:left="0" w:right="0" w:firstLine="0" w:firstLine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机组稳定运行后，记录功率、电压、电流、功率因数、频率、冷却发动机的出水（或出风）温度计机油温度（可从仪表盘读取）、环境温度、空气相对湿度、海拔高度，当以上运行参数显示为额定数值或满足额定工况要求后，按照下表记录有关数据和情况。</w:t>
      </w:r>
    </w:p>
    <w:p>
      <w:pPr>
        <w:pStyle w:val="15"/>
        <w:spacing w:after="0" w:line="360" w:lineRule="auto"/>
        <w:ind w:left="0" w:right="0" w:firstLine="0" w:firstLine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（3）试验过程中运行调整负载以便保持发电机在额定工况下运行。</w:t>
      </w:r>
    </w:p>
    <w:p>
      <w:pPr>
        <w:pStyle w:val="15"/>
        <w:spacing w:after="0" w:line="360" w:lineRule="auto"/>
        <w:ind w:left="0" w:right="0" w:firstLine="0" w:firstLine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（4）用辅助燃油箱供油。</w:t>
      </w:r>
    </w:p>
    <w:p>
      <w:pPr>
        <w:pStyle w:val="15"/>
        <w:spacing w:after="0" w:line="360" w:lineRule="auto"/>
        <w:ind w:left="0" w:right="0" w:firstLine="0" w:firstLineChars="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w:t>
      </w:r>
      <w:r>
        <w:rPr>
          <w:rFonts w:hint="eastAsia" w:ascii="仿宋" w:hAnsi="仿宋" w:eastAsia="仿宋" w:cs="仿宋"/>
          <w:color w:val="000000" w:themeColor="text1"/>
          <w:sz w:val="32"/>
          <w:szCs w:val="32"/>
          <w:lang w:eastAsia="zh-CN"/>
          <w14:textFill>
            <w14:solidFill>
              <w14:schemeClr w14:val="tx1"/>
            </w14:solidFill>
          </w14:textFill>
        </w:rPr>
        <w:t>油耗检测时间不低于</w:t>
      </w:r>
      <w:r>
        <w:rPr>
          <w:rFonts w:hint="eastAsia" w:ascii="仿宋" w:hAnsi="仿宋" w:eastAsia="仿宋" w:cs="仿宋"/>
          <w:color w:val="000000" w:themeColor="text1"/>
          <w:sz w:val="32"/>
          <w:szCs w:val="32"/>
          <w:lang w:val="en-US" w:eastAsia="zh-CN"/>
          <w14:textFill>
            <w14:solidFill>
              <w14:schemeClr w14:val="tx1"/>
            </w14:solidFill>
          </w14:textFill>
        </w:rPr>
        <w:t>2小时，</w:t>
      </w:r>
      <w:r>
        <w:rPr>
          <w:rFonts w:hint="eastAsia" w:ascii="仿宋" w:hAnsi="仿宋" w:eastAsia="仿宋" w:cs="仿宋"/>
          <w:color w:val="000000" w:themeColor="text1"/>
          <w:sz w:val="32"/>
          <w:szCs w:val="32"/>
          <w14:textFill>
            <w14:solidFill>
              <w14:schemeClr w14:val="tx1"/>
            </w14:solidFill>
          </w14:textFill>
        </w:rPr>
        <w:t>每隔30</w:t>
      </w:r>
      <w:r>
        <w:rPr>
          <w:rFonts w:hint="eastAsia" w:ascii="仿宋" w:hAnsi="仿宋" w:eastAsia="仿宋" w:cs="仿宋"/>
          <w:color w:val="000000" w:themeColor="text1"/>
          <w:sz w:val="32"/>
          <w:szCs w:val="32"/>
          <w:lang w:eastAsia="zh-CN"/>
          <w14:textFill>
            <w14:solidFill>
              <w14:schemeClr w14:val="tx1"/>
            </w14:solidFill>
          </w14:textFill>
        </w:rPr>
        <w:t>分钟</w:t>
      </w:r>
      <w:r>
        <w:rPr>
          <w:rFonts w:hint="eastAsia" w:ascii="仿宋" w:hAnsi="仿宋" w:eastAsia="仿宋" w:cs="仿宋"/>
          <w:color w:val="000000" w:themeColor="text1"/>
          <w:sz w:val="32"/>
          <w:szCs w:val="32"/>
          <w14:textFill>
            <w14:solidFill>
              <w14:schemeClr w14:val="tx1"/>
            </w14:solidFill>
          </w14:textFill>
        </w:rPr>
        <w:t>，记录燃油消耗量</w:t>
      </w:r>
      <w:r>
        <w:rPr>
          <w:rFonts w:hint="eastAsia" w:ascii="仿宋" w:hAnsi="仿宋" w:eastAsia="仿宋" w:cs="仿宋"/>
          <w:color w:val="000000" w:themeColor="text1"/>
          <w:sz w:val="32"/>
          <w:szCs w:val="32"/>
          <w:lang w:eastAsia="zh-CN"/>
          <w14:textFill>
            <w14:solidFill>
              <w14:schemeClr w14:val="tx1"/>
            </w14:solidFill>
          </w14:textFill>
        </w:rPr>
        <w:t>一次，</w:t>
      </w:r>
      <w:r>
        <w:rPr>
          <w:rFonts w:hint="eastAsia" w:ascii="仿宋" w:hAnsi="仿宋" w:eastAsia="仿宋" w:cs="仿宋"/>
          <w:color w:val="000000" w:themeColor="text1"/>
          <w:sz w:val="32"/>
          <w:szCs w:val="32"/>
          <w:highlight w:val="none"/>
          <w14:textFill>
            <w14:solidFill>
              <w14:schemeClr w14:val="tx1"/>
            </w14:solidFill>
          </w14:textFill>
        </w:rPr>
        <w:t>且</w:t>
      </w:r>
      <w:r>
        <w:rPr>
          <w:rFonts w:hint="eastAsia" w:ascii="仿宋" w:hAnsi="仿宋" w:eastAsia="仿宋" w:cs="仿宋"/>
          <w:color w:val="000000" w:themeColor="text1"/>
          <w:sz w:val="32"/>
          <w:szCs w:val="32"/>
          <w:highlight w:val="none"/>
          <w:lang w:eastAsia="zh-CN"/>
          <w14:textFill>
            <w14:solidFill>
              <w14:schemeClr w14:val="tx1"/>
            </w14:solidFill>
          </w14:textFill>
        </w:rPr>
        <w:t>此时运行参数仍需稳定显示为</w:t>
      </w:r>
      <w:r>
        <w:rPr>
          <w:rFonts w:hint="eastAsia" w:ascii="仿宋" w:hAnsi="仿宋" w:eastAsia="仿宋" w:cs="仿宋"/>
          <w:color w:val="000000" w:themeColor="text1"/>
          <w:sz w:val="32"/>
          <w:szCs w:val="32"/>
          <w:highlight w:val="none"/>
          <w14:textFill>
            <w14:solidFill>
              <w14:schemeClr w14:val="tx1"/>
            </w14:solidFill>
          </w14:textFill>
        </w:rPr>
        <w:t>额定数值或满足额定工况</w:t>
      </w:r>
      <w:r>
        <w:rPr>
          <w:rFonts w:hint="eastAsia" w:ascii="仿宋" w:hAnsi="仿宋" w:eastAsia="仿宋" w:cs="仿宋"/>
          <w:color w:val="000000" w:themeColor="text1"/>
          <w:sz w:val="32"/>
          <w:szCs w:val="32"/>
          <w:highlight w:val="none"/>
          <w:lang w:eastAsia="zh-CN"/>
          <w14:textFill>
            <w14:solidFill>
              <w14:schemeClr w14:val="tx1"/>
            </w14:solidFill>
          </w14:textFill>
        </w:rPr>
        <w:t>要求</w:t>
      </w:r>
      <w:r>
        <w:rPr>
          <w:rFonts w:hint="eastAsia" w:ascii="仿宋" w:hAnsi="仿宋" w:eastAsia="仿宋" w:cs="仿宋"/>
          <w:color w:val="000000" w:themeColor="text1"/>
          <w:sz w:val="32"/>
          <w:szCs w:val="32"/>
          <w:highlight w:val="none"/>
          <w14:textFill>
            <w14:solidFill>
              <w14:schemeClr w14:val="tx1"/>
            </w14:solidFill>
          </w14:textFill>
        </w:rPr>
        <w:t>。</w:t>
      </w:r>
    </w:p>
    <w:tbl>
      <w:tblPr>
        <w:tblStyle w:val="8"/>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218"/>
        <w:gridCol w:w="1217"/>
        <w:gridCol w:w="1217"/>
        <w:gridCol w:w="1215"/>
        <w:gridCol w:w="1218"/>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6" w:hRule="atLeast"/>
        </w:trPr>
        <w:tc>
          <w:tcPr>
            <w:tcW w:w="8380" w:type="dxa"/>
            <w:gridSpan w:val="7"/>
            <w:shd w:val="clear" w:color="auto" w:fill="auto"/>
            <w:vAlign w:val="center"/>
          </w:tcPr>
          <w:p>
            <w:pPr>
              <w:adjustRightInd w:val="0"/>
              <w:snapToGrid w:val="0"/>
              <w:spacing w:before="0" w:beforeLines="0" w:line="360" w:lineRule="auto"/>
              <w:ind w:left="3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品牌：                  型号：                 </w:t>
            </w:r>
          </w:p>
          <w:p>
            <w:pPr>
              <w:adjustRightInd w:val="0"/>
              <w:snapToGrid w:val="0"/>
              <w:spacing w:before="0" w:beforeLines="0" w:line="360" w:lineRule="auto"/>
              <w:ind w:left="3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额定功率：      □PRP □ESP □COP □LTP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trPr>
        <w:tc>
          <w:tcPr>
            <w:tcW w:w="8380" w:type="dxa"/>
            <w:gridSpan w:val="7"/>
            <w:shd w:val="clear" w:color="auto" w:fill="auto"/>
            <w:vAlign w:val="center"/>
          </w:tcPr>
          <w:p>
            <w:pPr>
              <w:spacing w:before="0" w:beforeLines="0" w:line="360" w:lineRule="auto"/>
              <w:ind w:left="3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柴油型号：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81" w:type="dxa"/>
            <w:shd w:val="clear" w:color="auto" w:fill="auto"/>
            <w:vAlign w:val="center"/>
          </w:tcPr>
          <w:p>
            <w:pPr>
              <w:spacing w:before="0" w:beforeLines="0" w:line="360" w:lineRule="auto"/>
              <w:ind w:left="3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时间</w:t>
            </w:r>
          </w:p>
        </w:tc>
        <w:tc>
          <w:tcPr>
            <w:tcW w:w="7299" w:type="dxa"/>
            <w:gridSpan w:val="6"/>
            <w:shd w:val="clear" w:color="auto" w:fill="auto"/>
            <w:vAlign w:val="center"/>
          </w:tcPr>
          <w:p>
            <w:pPr>
              <w:spacing w:before="0" w:beforeLines="0" w:line="360" w:lineRule="auto"/>
              <w:ind w:left="30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数据记录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081" w:type="dxa"/>
            <w:vMerge w:val="restart"/>
            <w:shd w:val="clear" w:color="auto" w:fill="auto"/>
            <w:vAlign w:val="center"/>
          </w:tcPr>
          <w:p>
            <w:pPr>
              <w:spacing w:before="156" w:beforeLines="50" w:line="360" w:lineRule="auto"/>
              <w:ind w:left="299"/>
              <w:rPr>
                <w:rFonts w:hint="eastAsia" w:ascii="仿宋" w:hAnsi="仿宋" w:eastAsia="仿宋" w:cs="仿宋"/>
                <w:color w:val="000000" w:themeColor="text1"/>
                <w:sz w:val="24"/>
                <w:szCs w:val="24"/>
                <w14:textFill>
                  <w14:solidFill>
                    <w14:schemeClr w14:val="tx1"/>
                  </w14:solidFill>
                </w14:textFill>
              </w:rPr>
            </w:pPr>
          </w:p>
        </w:tc>
        <w:tc>
          <w:tcPr>
            <w:tcW w:w="1218"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功率（kw）</w:t>
            </w:r>
          </w:p>
        </w:tc>
        <w:tc>
          <w:tcPr>
            <w:tcW w:w="1217"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电压（V）</w:t>
            </w:r>
          </w:p>
        </w:tc>
        <w:tc>
          <w:tcPr>
            <w:tcW w:w="1217"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电流（A）</w:t>
            </w:r>
          </w:p>
        </w:tc>
        <w:tc>
          <w:tcPr>
            <w:tcW w:w="1215"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功率因数</w:t>
            </w:r>
          </w:p>
        </w:tc>
        <w:tc>
          <w:tcPr>
            <w:tcW w:w="1218"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频率（Hz）</w:t>
            </w:r>
          </w:p>
        </w:tc>
        <w:tc>
          <w:tcPr>
            <w:tcW w:w="1214"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流量（</w:t>
            </w:r>
            <w:r>
              <w:rPr>
                <w:rFonts w:hint="eastAsia" w:ascii="仿宋" w:hAnsi="仿宋" w:eastAsia="仿宋" w:cs="仿宋"/>
                <w:color w:val="000000" w:themeColor="text1"/>
                <w:sz w:val="24"/>
                <w:szCs w:val="24"/>
                <w:lang w:eastAsia="zh-CN"/>
                <w14:textFill>
                  <w14:solidFill>
                    <w14:schemeClr w14:val="tx1"/>
                  </w14:solidFill>
                </w14:textFill>
              </w:rPr>
              <w:t>V</w:t>
            </w:r>
            <w:r>
              <w:rPr>
                <w:rFonts w:hint="eastAsia" w:ascii="仿宋" w:hAnsi="仿宋" w:eastAsia="仿宋" w:cs="仿宋"/>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1081" w:type="dxa"/>
            <w:vMerge w:val="continue"/>
            <w:shd w:val="clear" w:color="auto" w:fill="auto"/>
            <w:vAlign w:val="center"/>
          </w:tcPr>
          <w:p>
            <w:pPr>
              <w:spacing w:before="156" w:beforeLines="50" w:line="360" w:lineRule="auto"/>
              <w:ind w:left="299"/>
              <w:rPr>
                <w:rFonts w:hint="eastAsia" w:ascii="仿宋" w:hAnsi="仿宋" w:eastAsia="仿宋" w:cs="仿宋"/>
                <w:color w:val="000000" w:themeColor="text1"/>
                <w:sz w:val="24"/>
                <w:szCs w:val="24"/>
                <w14:textFill>
                  <w14:solidFill>
                    <w14:schemeClr w14:val="tx1"/>
                  </w14:solidFill>
                </w14:textFill>
              </w:rPr>
            </w:pPr>
          </w:p>
        </w:tc>
        <w:tc>
          <w:tcPr>
            <w:tcW w:w="1218"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7"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7"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5"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8"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4"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1081" w:type="dxa"/>
            <w:vMerge w:val="continue"/>
            <w:shd w:val="clear" w:color="auto" w:fill="auto"/>
            <w:vAlign w:val="center"/>
          </w:tcPr>
          <w:p>
            <w:pPr>
              <w:spacing w:before="156" w:beforeLines="50" w:line="360" w:lineRule="auto"/>
              <w:ind w:left="299"/>
              <w:rPr>
                <w:rFonts w:hint="eastAsia" w:ascii="仿宋" w:hAnsi="仿宋" w:eastAsia="仿宋" w:cs="仿宋"/>
                <w:color w:val="000000" w:themeColor="text1"/>
                <w:sz w:val="24"/>
                <w:szCs w:val="24"/>
                <w14:textFill>
                  <w14:solidFill>
                    <w14:schemeClr w14:val="tx1"/>
                  </w14:solidFill>
                </w14:textFill>
              </w:rPr>
            </w:pPr>
          </w:p>
        </w:tc>
        <w:tc>
          <w:tcPr>
            <w:tcW w:w="1218"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出水/风温度（℃）</w:t>
            </w:r>
          </w:p>
        </w:tc>
        <w:tc>
          <w:tcPr>
            <w:tcW w:w="1217"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机油温度（℃）</w:t>
            </w:r>
          </w:p>
        </w:tc>
        <w:tc>
          <w:tcPr>
            <w:tcW w:w="1217"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环境温度（℃）</w:t>
            </w:r>
          </w:p>
        </w:tc>
        <w:tc>
          <w:tcPr>
            <w:tcW w:w="1215"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相对湿度（%）</w:t>
            </w:r>
          </w:p>
        </w:tc>
        <w:tc>
          <w:tcPr>
            <w:tcW w:w="1218"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海拔高度（m）</w:t>
            </w:r>
          </w:p>
        </w:tc>
        <w:tc>
          <w:tcPr>
            <w:tcW w:w="1214" w:type="dxa"/>
            <w:shd w:val="clear" w:color="auto" w:fill="auto"/>
            <w:vAlign w:val="center"/>
          </w:tcPr>
          <w:p>
            <w:pPr>
              <w:adjustRightInd w:val="0"/>
              <w:snapToGrid w:val="0"/>
              <w:spacing w:before="156" w:beforeLines="50"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trPr>
        <w:tc>
          <w:tcPr>
            <w:tcW w:w="1081" w:type="dxa"/>
            <w:vMerge w:val="continue"/>
            <w:shd w:val="clear" w:color="auto" w:fill="auto"/>
            <w:vAlign w:val="center"/>
          </w:tcPr>
          <w:p>
            <w:pPr>
              <w:spacing w:before="156" w:beforeLines="50" w:line="360" w:lineRule="auto"/>
              <w:ind w:left="299"/>
              <w:rPr>
                <w:rFonts w:hint="eastAsia" w:ascii="仿宋" w:hAnsi="仿宋" w:eastAsia="仿宋" w:cs="仿宋"/>
                <w:color w:val="000000" w:themeColor="text1"/>
                <w:sz w:val="24"/>
                <w:szCs w:val="24"/>
                <w14:textFill>
                  <w14:solidFill>
                    <w14:schemeClr w14:val="tx1"/>
                  </w14:solidFill>
                </w14:textFill>
              </w:rPr>
            </w:pPr>
          </w:p>
        </w:tc>
        <w:tc>
          <w:tcPr>
            <w:tcW w:w="1218"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7"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7"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5"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8"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14" w:type="dxa"/>
            <w:shd w:val="clear" w:color="auto" w:fill="auto"/>
            <w:vAlign w:val="center"/>
          </w:tcPr>
          <w:p>
            <w:pPr>
              <w:adjustRightInd w:val="0"/>
              <w:snapToGrid w:val="0"/>
              <w:spacing w:before="0" w:beforeLines="0" w:line="360" w:lineRule="auto"/>
              <w:jc w:val="center"/>
              <w:rPr>
                <w:rFonts w:hint="eastAsia" w:ascii="仿宋" w:hAnsi="仿宋" w:eastAsia="仿宋" w:cs="仿宋"/>
                <w:color w:val="000000" w:themeColor="text1"/>
                <w:sz w:val="24"/>
                <w:szCs w:val="24"/>
                <w14:textFill>
                  <w14:solidFill>
                    <w14:schemeClr w14:val="tx1"/>
                  </w14:solidFill>
                </w14:textFill>
              </w:rPr>
            </w:pPr>
          </w:p>
        </w:tc>
      </w:tr>
    </w:tbl>
    <w:p>
      <w:pPr>
        <w:spacing w:line="360" w:lineRule="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2</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结果</w:t>
      </w:r>
    </w:p>
    <w:p>
      <w:pPr>
        <w:pStyle w:val="15"/>
        <w:numPr>
          <w:ilvl w:val="0"/>
          <w:numId w:val="8"/>
        </w:numPr>
        <w:spacing w:after="0" w:line="360" w:lineRule="auto"/>
        <w:ind w:left="0" w:right="0" w:firstLine="0" w:firstLine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燃油消耗率g</w:t>
      </w:r>
      <w:r>
        <w:rPr>
          <w:rFonts w:hint="eastAsia" w:ascii="仿宋" w:hAnsi="仿宋" w:eastAsia="仿宋" w:cs="仿宋"/>
          <w:color w:val="000000" w:themeColor="text1"/>
          <w:sz w:val="32"/>
          <w:szCs w:val="32"/>
          <w:vertAlign w:val="subscript"/>
          <w14:textFill>
            <w14:solidFill>
              <w14:schemeClr w14:val="tx1"/>
            </w14:solidFill>
          </w14:textFill>
        </w:rPr>
        <w:t>e</w:t>
      </w:r>
      <w:r>
        <w:rPr>
          <w:rFonts w:hint="eastAsia" w:ascii="仿宋" w:hAnsi="仿宋" w:eastAsia="仿宋" w:cs="仿宋"/>
          <w:color w:val="000000" w:themeColor="text1"/>
          <w:sz w:val="32"/>
          <w:szCs w:val="32"/>
          <w14:textFill>
            <w14:solidFill>
              <w14:schemeClr w14:val="tx1"/>
            </w14:solidFill>
          </w14:textFill>
        </w:rPr>
        <w:t>[g/(kW·h)]按下式计算：</w:t>
      </w:r>
    </w:p>
    <w:p>
      <w:pPr>
        <w:spacing w:line="360" w:lineRule="auto"/>
        <w:jc w:val="center"/>
        <w:rPr>
          <w:rFonts w:hint="eastAsia" w:ascii="仿宋" w:hAnsi="仿宋" w:eastAsia="仿宋" w:cs="仿宋"/>
          <w:color w:val="000000" w:themeColor="text1"/>
          <w:sz w:val="32"/>
          <w:szCs w:val="32"/>
          <w:highlight w:val="none"/>
          <w14:textFill>
            <w14:solidFill>
              <w14:schemeClr w14:val="tx1"/>
            </w14:solidFill>
          </w14:textFill>
        </w:rPr>
      </w:pPr>
      <m:oMathPara>
        <m:oMath>
          <m:sSub>
            <m:sSubPr>
              <m:ctrlPr>
                <w:rPr>
                  <w:rFonts w:hint="eastAsia" w:ascii="Cambria Math" w:hAnsi="Cambria Math" w:eastAsia="仿宋" w:cs="仿宋"/>
                  <w:i/>
                  <w:color w:val="000000" w:themeColor="text1"/>
                  <w:sz w:val="32"/>
                  <w:szCs w:val="32"/>
                  <w:highlight w:val="none"/>
                  <w14:textFill>
                    <w14:solidFill>
                      <w14:schemeClr w14:val="tx1"/>
                    </w14:solidFill>
                  </w14:textFill>
                </w:rPr>
              </m:ctrlPr>
            </m:sSubPr>
            <m:e>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g</m:t>
              </m:r>
              <m:ctrlPr>
                <w:rPr>
                  <w:rFonts w:hint="eastAsia" w:ascii="Cambria Math" w:hAnsi="Cambria Math" w:eastAsia="仿宋" w:cs="仿宋"/>
                  <w:i/>
                  <w:color w:val="000000" w:themeColor="text1"/>
                  <w:sz w:val="32"/>
                  <w:szCs w:val="32"/>
                  <w:highlight w:val="none"/>
                  <w14:textFill>
                    <w14:solidFill>
                      <w14:schemeClr w14:val="tx1"/>
                    </w14:solidFill>
                  </w14:textFill>
                </w:rPr>
              </m:ctrlPr>
            </m:e>
            <m:sub>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e</m:t>
              </m:r>
              <m:ctrlPr>
                <w:rPr>
                  <w:rFonts w:hint="eastAsia" w:ascii="Cambria Math" w:hAnsi="Cambria Math" w:eastAsia="仿宋" w:cs="仿宋"/>
                  <w:i/>
                  <w:color w:val="000000" w:themeColor="text1"/>
                  <w:sz w:val="32"/>
                  <w:szCs w:val="32"/>
                  <w:highlight w:val="none"/>
                  <w14:textFill>
                    <w14:solidFill>
                      <w14:schemeClr w14:val="tx1"/>
                    </w14:solidFill>
                  </w14:textFill>
                </w:rPr>
              </m:ctrlPr>
            </m:sub>
          </m:sSub>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m:t>
          </m:r>
          <m:f>
            <m:fPr>
              <m:ctrlPr>
                <w:rPr>
                  <w:rFonts w:hint="eastAsia" w:ascii="Cambria Math" w:hAnsi="Cambria Math" w:eastAsia="仿宋" w:cs="仿宋"/>
                  <w:i/>
                  <w:color w:val="000000" w:themeColor="text1"/>
                  <w:sz w:val="32"/>
                  <w:szCs w:val="32"/>
                  <w:highlight w:val="none"/>
                  <w:lang w:val="en-US" w:eastAsia="zh-CN"/>
                  <w14:textFill>
                    <w14:solidFill>
                      <w14:schemeClr w14:val="tx1"/>
                    </w14:solidFill>
                  </w14:textFill>
                </w:rPr>
              </m:ctrlPr>
            </m:fPr>
            <m:num>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1000</m:t>
              </m:r>
              <m:sSub>
                <m:sSubPr>
                  <m:ctrlPr>
                    <w:rPr>
                      <w:rFonts w:hint="eastAsia" w:ascii="Cambria Math" w:hAnsi="Cambria Math" w:eastAsia="仿宋" w:cs="仿宋"/>
                      <w:i/>
                      <w:color w:val="000000" w:themeColor="text1"/>
                      <w:sz w:val="32"/>
                      <w:szCs w:val="32"/>
                      <w:highlight w:val="none"/>
                      <w:lang w:val="en-US" w:eastAsia="zh-CN"/>
                      <w14:textFill>
                        <w14:solidFill>
                          <w14:schemeClr w14:val="tx1"/>
                        </w14:solidFill>
                      </w14:textFill>
                    </w:rPr>
                  </m:ctrlPr>
                </m:sSubPr>
                <m:e>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G</m:t>
                  </m:r>
                  <m:ctrlPr>
                    <w:rPr>
                      <w:rFonts w:hint="eastAsia" w:ascii="Cambria Math" w:hAnsi="Cambria Math" w:eastAsia="仿宋" w:cs="仿宋"/>
                      <w:i/>
                      <w:color w:val="000000" w:themeColor="text1"/>
                      <w:sz w:val="32"/>
                      <w:szCs w:val="32"/>
                      <w:highlight w:val="none"/>
                      <w:lang w:val="en-US" w:eastAsia="zh-CN"/>
                      <w14:textFill>
                        <w14:solidFill>
                          <w14:schemeClr w14:val="tx1"/>
                        </w14:solidFill>
                      </w14:textFill>
                    </w:rPr>
                  </m:ctrlPr>
                </m:e>
                <m:sub>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e</m:t>
                  </m:r>
                  <m:ctrlPr>
                    <w:rPr>
                      <w:rFonts w:hint="eastAsia" w:ascii="Cambria Math" w:hAnsi="Cambria Math" w:eastAsia="仿宋" w:cs="仿宋"/>
                      <w:i/>
                      <w:color w:val="000000" w:themeColor="text1"/>
                      <w:sz w:val="32"/>
                      <w:szCs w:val="32"/>
                      <w:highlight w:val="none"/>
                      <w:lang w:val="en-US" w:eastAsia="zh-CN"/>
                      <w14:textFill>
                        <w14:solidFill>
                          <w14:schemeClr w14:val="tx1"/>
                        </w14:solidFill>
                      </w14:textFill>
                    </w:rPr>
                  </m:ctrlPr>
                </m:sub>
              </m:sSub>
              <m:ctrlPr>
                <w:rPr>
                  <w:rFonts w:hint="eastAsia" w:ascii="Cambria Math" w:hAnsi="Cambria Math" w:eastAsia="仿宋" w:cs="仿宋"/>
                  <w:i/>
                  <w:color w:val="000000" w:themeColor="text1"/>
                  <w:sz w:val="32"/>
                  <w:szCs w:val="32"/>
                  <w:highlight w:val="none"/>
                  <w:lang w:val="en-US" w:eastAsia="zh-CN"/>
                  <w14:textFill>
                    <w14:solidFill>
                      <w14:schemeClr w14:val="tx1"/>
                    </w14:solidFill>
                  </w14:textFill>
                </w:rPr>
              </m:ctrlPr>
            </m:num>
            <m:den>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P</m:t>
              </m:r>
              <m:ctrlPr>
                <w:rPr>
                  <w:rFonts w:hint="eastAsia" w:ascii="Cambria Math" w:hAnsi="Cambria Math" w:eastAsia="仿宋" w:cs="仿宋"/>
                  <w:i/>
                  <w:color w:val="000000" w:themeColor="text1"/>
                  <w:sz w:val="32"/>
                  <w:szCs w:val="32"/>
                  <w:highlight w:val="none"/>
                  <w:lang w:val="en-US" w:eastAsia="zh-CN"/>
                  <w14:textFill>
                    <w14:solidFill>
                      <w14:schemeClr w14:val="tx1"/>
                    </w14:solidFill>
                  </w14:textFill>
                </w:rPr>
              </m:ctrlPr>
            </m:den>
          </m:f>
        </m:oMath>
      </m:oMathPara>
    </w:p>
    <w:p>
      <w:pPr>
        <w:spacing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式中：</w:t>
      </w:r>
    </w:p>
    <w:p>
      <w:pPr>
        <w:spacing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g</w:t>
      </w:r>
      <w:r>
        <w:rPr>
          <w:rFonts w:hint="eastAsia" w:ascii="仿宋" w:hAnsi="仿宋" w:eastAsia="仿宋" w:cs="仿宋"/>
          <w:color w:val="000000" w:themeColor="text1"/>
          <w:sz w:val="32"/>
          <w:szCs w:val="32"/>
          <w:highlight w:val="none"/>
          <w:vertAlign w:val="subscript"/>
          <w14:textFill>
            <w14:solidFill>
              <w14:schemeClr w14:val="tx1"/>
            </w14:solidFill>
          </w14:textFill>
        </w:rPr>
        <w:t>e</w:t>
      </w:r>
      <w:r>
        <w:rPr>
          <w:rFonts w:hint="eastAsia" w:ascii="仿宋" w:hAnsi="仿宋" w:eastAsia="仿宋" w:cs="仿宋"/>
          <w:color w:val="000000" w:themeColor="text1"/>
          <w:sz w:val="32"/>
          <w:szCs w:val="32"/>
          <w:highlight w:val="none"/>
          <w14:textFill>
            <w14:solidFill>
              <w14:schemeClr w14:val="tx1"/>
            </w14:solidFill>
          </w14:textFill>
        </w:rPr>
        <w:softHyphen/>
      </w:r>
      <w:r>
        <w:rPr>
          <w:rFonts w:hint="eastAsia" w:ascii="仿宋" w:hAnsi="仿宋" w:eastAsia="仿宋" w:cs="仿宋"/>
          <w:color w:val="000000" w:themeColor="text1"/>
          <w:sz w:val="32"/>
          <w:szCs w:val="32"/>
          <w:highlight w:val="none"/>
          <w14:textFill>
            <w14:solidFill>
              <w14:schemeClr w14:val="tx1"/>
            </w14:solidFill>
          </w14:textFill>
        </w:rPr>
        <w:softHyphen/>
      </w:r>
      <w:r>
        <w:rPr>
          <w:rFonts w:hint="eastAsia" w:ascii="仿宋" w:hAnsi="仿宋" w:eastAsia="仿宋" w:cs="仿宋"/>
          <w:color w:val="000000" w:themeColor="text1"/>
          <w:sz w:val="32"/>
          <w:szCs w:val="32"/>
          <w:highlight w:val="none"/>
          <w14:textFill>
            <w14:solidFill>
              <w14:schemeClr w14:val="tx1"/>
            </w14:solidFill>
          </w14:textFill>
        </w:rPr>
        <w:t>——燃油消耗率，单位为克每千瓦时（g/(kW·h)）</w:t>
      </w:r>
    </w:p>
    <w:p>
      <w:pPr>
        <w:spacing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G</w:t>
      </w:r>
      <w:r>
        <w:rPr>
          <w:rFonts w:hint="eastAsia" w:ascii="仿宋" w:hAnsi="仿宋" w:eastAsia="仿宋" w:cs="仿宋"/>
          <w:color w:val="000000" w:themeColor="text1"/>
          <w:sz w:val="32"/>
          <w:szCs w:val="32"/>
          <w:highlight w:val="none"/>
          <w:vertAlign w:val="subscript"/>
          <w14:textFill>
            <w14:solidFill>
              <w14:schemeClr w14:val="tx1"/>
            </w14:solidFill>
          </w14:textFill>
        </w:rPr>
        <w:t>e</w:t>
      </w:r>
      <w:r>
        <w:rPr>
          <w:rFonts w:hint="eastAsia" w:ascii="仿宋" w:hAnsi="仿宋" w:eastAsia="仿宋" w:cs="仿宋"/>
          <w:color w:val="000000" w:themeColor="text1"/>
          <w:sz w:val="32"/>
          <w:szCs w:val="32"/>
          <w:highlight w:val="none"/>
          <w14:textFill>
            <w14:solidFill>
              <w14:schemeClr w14:val="tx1"/>
            </w14:solidFill>
          </w14:textFill>
        </w:rPr>
        <w:t>——燃油消耗量，单位为千克每小时（kg/h）</w:t>
      </w:r>
    </w:p>
    <w:p>
      <w:pPr>
        <w:pStyle w:val="15"/>
        <w:spacing w:line="360" w:lineRule="auto"/>
        <w:ind w:left="0" w:firstLine="0" w:firstLineChars="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P——发电机组额定功率，单位为千瓦（kW）</w:t>
      </w:r>
    </w:p>
    <w:p>
      <w:pPr>
        <w:pStyle w:val="15"/>
        <w:numPr>
          <w:ilvl w:val="0"/>
          <w:numId w:val="8"/>
        </w:numPr>
        <w:spacing w:after="0" w:line="360" w:lineRule="auto"/>
        <w:ind w:left="0" w:right="0" w:firstLine="0" w:firstLineChars="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燃油消耗量G</w:t>
      </w:r>
      <w:r>
        <w:rPr>
          <w:rFonts w:hint="eastAsia" w:ascii="仿宋" w:hAnsi="仿宋" w:eastAsia="仿宋" w:cs="仿宋"/>
          <w:color w:val="000000" w:themeColor="text1"/>
          <w:sz w:val="32"/>
          <w:szCs w:val="32"/>
          <w:highlight w:val="none"/>
          <w:vertAlign w:val="subscript"/>
          <w14:textFill>
            <w14:solidFill>
              <w14:schemeClr w14:val="tx1"/>
            </w14:solidFill>
          </w14:textFill>
        </w:rPr>
        <w:t>e</w:t>
      </w:r>
      <w:r>
        <w:rPr>
          <w:rFonts w:hint="eastAsia" w:ascii="仿宋" w:hAnsi="仿宋" w:eastAsia="仿宋" w:cs="仿宋"/>
          <w:color w:val="000000" w:themeColor="text1"/>
          <w:sz w:val="32"/>
          <w:szCs w:val="32"/>
          <w:highlight w:val="none"/>
          <w14:textFill>
            <w14:solidFill>
              <w14:schemeClr w14:val="tx1"/>
            </w14:solidFill>
          </w14:textFill>
        </w:rPr>
        <w:t>（kg/h）按下式计算：</w:t>
      </w:r>
    </w:p>
    <w:p>
      <w:pPr>
        <w:spacing w:line="360" w:lineRule="auto"/>
        <w:jc w:val="center"/>
        <w:rPr>
          <w:rFonts w:hint="eastAsia" w:ascii="仿宋" w:hAnsi="仿宋" w:eastAsia="仿宋" w:cs="仿宋"/>
          <w:color w:val="000000" w:themeColor="text1"/>
          <w:sz w:val="32"/>
          <w:szCs w:val="32"/>
          <w:highlight w:val="none"/>
          <w14:textFill>
            <w14:solidFill>
              <w14:schemeClr w14:val="tx1"/>
            </w14:solidFill>
          </w14:textFill>
        </w:rPr>
      </w:pPr>
      <m:oMath>
        <m:sSub>
          <m:sSubPr>
            <m:ctrlPr>
              <w:rPr>
                <w:rFonts w:hint="eastAsia" w:ascii="Cambria Math" w:hAnsi="Cambria Math" w:eastAsia="仿宋" w:cs="仿宋"/>
                <w:i/>
                <w:color w:val="000000" w:themeColor="text1"/>
                <w:sz w:val="32"/>
                <w:szCs w:val="32"/>
                <w:highlight w:val="none"/>
                <w14:textFill>
                  <w14:solidFill>
                    <w14:schemeClr w14:val="tx1"/>
                  </w14:solidFill>
                </w14:textFill>
              </w:rPr>
            </m:ctrlPr>
          </m:sSubPr>
          <m:e>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G</m:t>
            </m:r>
            <m:ctrlPr>
              <w:rPr>
                <w:rFonts w:hint="eastAsia" w:ascii="Cambria Math" w:hAnsi="Cambria Math" w:eastAsia="仿宋" w:cs="仿宋"/>
                <w:i/>
                <w:color w:val="000000" w:themeColor="text1"/>
                <w:sz w:val="32"/>
                <w:szCs w:val="32"/>
                <w:highlight w:val="none"/>
                <w14:textFill>
                  <w14:solidFill>
                    <w14:schemeClr w14:val="tx1"/>
                  </w14:solidFill>
                </w14:textFill>
              </w:rPr>
            </m:ctrlPr>
          </m:e>
          <m:sub>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e</m:t>
            </m:r>
            <m:ctrlPr>
              <w:rPr>
                <w:rFonts w:hint="eastAsia" w:ascii="Cambria Math" w:hAnsi="Cambria Math" w:eastAsia="仿宋" w:cs="仿宋"/>
                <w:i/>
                <w:color w:val="000000" w:themeColor="text1"/>
                <w:sz w:val="32"/>
                <w:szCs w:val="32"/>
                <w:highlight w:val="none"/>
                <w14:textFill>
                  <w14:solidFill>
                    <w14:schemeClr w14:val="tx1"/>
                  </w14:solidFill>
                </w14:textFill>
              </w:rPr>
            </m:ctrlPr>
          </m:sub>
        </m:sSub>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=ρ</m:t>
        </m:r>
      </m:oMath>
      <w:r>
        <w:rPr>
          <w:rFonts w:hint="eastAsia" w:ascii="仿宋" w:hAnsi="仿宋" w:eastAsia="仿宋" w:cs="仿宋"/>
          <w:i w:val="0"/>
          <w:color w:val="000000" w:themeColor="text1"/>
          <w:sz w:val="32"/>
          <w:szCs w:val="32"/>
          <w:highlight w:val="none"/>
          <w:lang w:val="en-US" w:eastAsia="zh-CN"/>
          <w14:textFill>
            <w14:solidFill>
              <w14:schemeClr w14:val="tx1"/>
            </w14:solidFill>
          </w14:textFill>
        </w:rPr>
        <w:t>×</w:t>
      </w:r>
      <m:oMath>
        <m:f>
          <m:fPr>
            <m:ctrlPr>
              <w:rPr>
                <w:rFonts w:hint="eastAsia" w:ascii="Cambria Math" w:hAnsi="Cambria Math" w:eastAsia="仿宋" w:cs="仿宋"/>
                <w:i/>
                <w:color w:val="000000" w:themeColor="text1"/>
                <w:sz w:val="32"/>
                <w:szCs w:val="32"/>
                <w:highlight w:val="none"/>
                <w:lang w:val="en-US"/>
                <w14:textFill>
                  <w14:solidFill>
                    <w14:schemeClr w14:val="tx1"/>
                  </w14:solidFill>
                </w14:textFill>
              </w:rPr>
            </m:ctrlPr>
          </m:fPr>
          <m:num>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V</m:t>
            </m:r>
            <m:ctrlPr>
              <w:rPr>
                <w:rFonts w:hint="eastAsia" w:ascii="Cambria Math" w:hAnsi="Cambria Math" w:eastAsia="仿宋" w:cs="仿宋"/>
                <w:i/>
                <w:color w:val="000000" w:themeColor="text1"/>
                <w:sz w:val="32"/>
                <w:szCs w:val="32"/>
                <w:highlight w:val="none"/>
                <w:lang w:val="en-US"/>
                <w14:textFill>
                  <w14:solidFill>
                    <w14:schemeClr w14:val="tx1"/>
                  </w14:solidFill>
                </w14:textFill>
              </w:rPr>
            </m:ctrlPr>
          </m:num>
          <m:den>
            <m:r>
              <w:rPr>
                <w:rFonts w:hint="eastAsia" w:ascii="Cambria Math" w:hAnsi="Cambria Math" w:eastAsia="仿宋" w:cs="仿宋"/>
                <w:color w:val="000000" w:themeColor="text1"/>
                <w:sz w:val="32"/>
                <w:szCs w:val="32"/>
                <w:highlight w:val="none"/>
                <w:lang w:val="en-US" w:eastAsia="zh-CN"/>
                <w14:textFill>
                  <w14:solidFill>
                    <w14:schemeClr w14:val="tx1"/>
                  </w14:solidFill>
                </w14:textFill>
              </w:rPr>
              <m:t>2</m:t>
            </m:r>
            <m:ctrlPr>
              <w:rPr>
                <w:rFonts w:hint="eastAsia" w:ascii="Cambria Math" w:hAnsi="Cambria Math" w:eastAsia="仿宋" w:cs="仿宋"/>
                <w:i/>
                <w:color w:val="000000" w:themeColor="text1"/>
                <w:sz w:val="32"/>
                <w:szCs w:val="32"/>
                <w:highlight w:val="none"/>
                <w:lang w:val="en-US"/>
                <w14:textFill>
                  <w14:solidFill>
                    <w14:schemeClr w14:val="tx1"/>
                  </w14:solidFill>
                </w14:textFill>
              </w:rPr>
            </m:ctrlPr>
          </m:den>
        </m:f>
      </m:oMath>
    </w:p>
    <w:p>
      <w:pPr>
        <w:spacing w:line="360" w:lineRule="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式中：</w:t>
      </w:r>
    </w:p>
    <w:p>
      <w:p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ρ——燃油密度</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kg/L</w:t>
      </w:r>
      <w:r>
        <w:rPr>
          <w:rFonts w:hint="eastAsia" w:ascii="仿宋" w:hAnsi="仿宋" w:eastAsia="仿宋" w:cs="仿宋"/>
          <w:color w:val="000000" w:themeColor="text1"/>
          <w:sz w:val="32"/>
          <w:szCs w:val="32"/>
          <w:lang w:eastAsia="zh-CN"/>
          <w14:textFill>
            <w14:solidFill>
              <w14:schemeClr w14:val="tx1"/>
            </w14:solidFill>
          </w14:textFill>
        </w:rPr>
        <w:t>）</w:t>
      </w:r>
    </w:p>
    <w:p>
      <w:p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V——</w:t>
      </w:r>
      <w:r>
        <w:rPr>
          <w:rFonts w:hint="eastAsia" w:ascii="仿宋" w:hAnsi="仿宋" w:eastAsia="仿宋" w:cs="仿宋"/>
          <w:color w:val="000000" w:themeColor="text1"/>
          <w:sz w:val="32"/>
          <w:szCs w:val="32"/>
          <w:lang w:val="en-US" w:eastAsia="zh-CN"/>
          <w14:textFill>
            <w14:solidFill>
              <w14:schemeClr w14:val="tx1"/>
            </w14:solidFill>
          </w14:textFill>
        </w:rPr>
        <w:t>2小时</w:t>
      </w:r>
      <w:r>
        <w:rPr>
          <w:rFonts w:hint="eastAsia" w:ascii="仿宋" w:hAnsi="仿宋" w:eastAsia="仿宋" w:cs="仿宋"/>
          <w:color w:val="000000" w:themeColor="text1"/>
          <w:sz w:val="32"/>
          <w:szCs w:val="32"/>
          <w14:textFill>
            <w14:solidFill>
              <w14:schemeClr w14:val="tx1"/>
            </w14:solidFill>
          </w14:textFill>
        </w:rPr>
        <w:t>所消耗燃油的体积</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L/h</w:t>
      </w:r>
      <w:r>
        <w:rPr>
          <w:rFonts w:hint="eastAsia" w:ascii="仿宋" w:hAnsi="仿宋" w:eastAsia="仿宋" w:cs="仿宋"/>
          <w:color w:val="000000" w:themeColor="text1"/>
          <w:sz w:val="32"/>
          <w:szCs w:val="32"/>
          <w:lang w:eastAsia="zh-CN"/>
          <w14:textFill>
            <w14:solidFill>
              <w14:schemeClr w14:val="tx1"/>
            </w14:solidFill>
          </w14:textFill>
        </w:rPr>
        <w:t>）</w:t>
      </w:r>
    </w:p>
    <w:p>
      <w:pPr>
        <w:pStyle w:val="3"/>
        <w:adjustRightInd w:val="0"/>
        <w:snapToGrid w:val="0"/>
        <w:spacing w:before="0" w:after="0" w:line="360" w:lineRule="auto"/>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br w:type="page"/>
      </w:r>
    </w:p>
    <w:p>
      <w:pPr>
        <w:pStyle w:val="3"/>
        <w:adjustRightInd w:val="0"/>
        <w:snapToGrid w:val="0"/>
        <w:spacing w:before="0" w:after="0"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附录</w:t>
      </w:r>
      <w:r>
        <w:rPr>
          <w:rFonts w:hint="eastAsia" w:ascii="仿宋" w:hAnsi="仿宋" w:eastAsia="仿宋" w:cs="仿宋"/>
          <w:color w:val="000000" w:themeColor="text1"/>
          <w:sz w:val="32"/>
          <w:szCs w:val="32"/>
          <w:lang w:val="en-US" w:eastAsia="zh-CN"/>
          <w14:textFill>
            <w14:solidFill>
              <w14:schemeClr w14:val="tx1"/>
            </w14:solidFill>
          </w14:textFill>
        </w:rPr>
        <w:t>H</w:t>
      </w:r>
      <w:r>
        <w:rPr>
          <w:rFonts w:hint="eastAsia" w:ascii="仿宋" w:hAnsi="仿宋" w:eastAsia="仿宋" w:cs="仿宋"/>
          <w:color w:val="000000" w:themeColor="text1"/>
          <w:sz w:val="32"/>
          <w:szCs w:val="32"/>
          <w14:textFill>
            <w14:solidFill>
              <w14:schemeClr w14:val="tx1"/>
            </w14:solidFill>
          </w14:textFill>
        </w:rPr>
        <w:t xml:space="preserve"> </w:t>
      </w:r>
    </w:p>
    <w:p>
      <w:pPr>
        <w:pStyle w:val="3"/>
        <w:adjustRightInd w:val="0"/>
        <w:snapToGrid w:val="0"/>
        <w:spacing w:before="0" w:after="0" w:line="360" w:lineRule="auto"/>
        <w:ind w:firstLine="2570" w:firstLineChars="800"/>
        <w:rPr>
          <w:rFonts w:hint="eastAsia" w:ascii="仿宋" w:hAnsi="仿宋" w:eastAsia="仿宋" w:cs="仿宋"/>
          <w:color w:val="000000" w:themeColor="text1"/>
          <w:sz w:val="32"/>
          <w:szCs w:val="32"/>
          <w14:textFill>
            <w14:solidFill>
              <w14:schemeClr w14:val="tx1"/>
            </w14:solidFill>
          </w14:textFill>
        </w:rPr>
      </w:pPr>
    </w:p>
    <w:p>
      <w:pPr>
        <w:pStyle w:val="3"/>
        <w:adjustRightInd w:val="0"/>
        <w:snapToGrid w:val="0"/>
        <w:spacing w:before="0" w:after="0" w:line="360" w:lineRule="auto"/>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柴油发电机组在额定工况下的噪声限值测试方法</w:t>
      </w:r>
    </w:p>
    <w:bookmarkEnd w:id="18"/>
    <w:p>
      <w:pPr>
        <w:spacing w:line="360" w:lineRule="auto"/>
        <w:ind w:firstLine="432" w:firstLineChars="135"/>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噪声测试在室内环境完成，测试场地由申请人自行提供，申请人须选择环境噪声小、可有效避开噪声反射的测试环境。按如下方法进行测量：</w:t>
      </w:r>
    </w:p>
    <w:p>
      <w:pPr>
        <w:pStyle w:val="15"/>
        <w:spacing w:after="0" w:line="360" w:lineRule="auto"/>
        <w:ind w:left="0" w:right="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1</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启动并调节负载量使柴油发电机组在额定工况下运行。</w:t>
      </w:r>
    </w:p>
    <w:p>
      <w:pPr>
        <w:pStyle w:val="15"/>
        <w:spacing w:after="0" w:line="360" w:lineRule="auto"/>
        <w:ind w:left="0" w:right="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w:t>
      </w:r>
      <w:r>
        <w:rPr>
          <w:rFonts w:hint="eastAsia" w:ascii="仿宋" w:hAnsi="仿宋" w:eastAsia="仿宋" w:cs="仿宋"/>
          <w:color w:val="000000" w:themeColor="text1"/>
          <w:kern w:val="0"/>
          <w:sz w:val="32"/>
          <w:szCs w:val="32"/>
          <w:lang w:eastAsia="zh-CN"/>
          <w14:textFill>
            <w14:solidFill>
              <w14:schemeClr w14:val="tx1"/>
            </w14:solidFill>
          </w14:textFill>
        </w:rPr>
        <w:t>2</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机组稳定运行后，将声级计调至</w:t>
      </w:r>
      <w:r>
        <w:rPr>
          <w:rFonts w:hint="eastAsia" w:ascii="仿宋" w:hAnsi="仿宋" w:eastAsia="仿宋" w:cs="仿宋"/>
          <w:color w:val="000000" w:themeColor="text1"/>
          <w:kern w:val="0"/>
          <w:sz w:val="32"/>
          <w:szCs w:val="32"/>
          <w:highlight w:val="none"/>
          <w14:textFill>
            <w14:solidFill>
              <w14:schemeClr w14:val="tx1"/>
            </w14:solidFill>
          </w14:textFill>
        </w:rPr>
        <w:t>“慢”档加权特性</w:t>
      </w:r>
      <w:r>
        <w:rPr>
          <w:rFonts w:hint="eastAsia" w:ascii="仿宋" w:hAnsi="仿宋" w:eastAsia="仿宋" w:cs="仿宋"/>
          <w:color w:val="000000" w:themeColor="text1"/>
          <w:kern w:val="0"/>
          <w:sz w:val="32"/>
          <w:szCs w:val="32"/>
          <w14:textFill>
            <w14:solidFill>
              <w14:schemeClr w14:val="tx1"/>
            </w14:solidFill>
          </w14:textFill>
        </w:rPr>
        <w:t>，在柴油发电机前（风扇侧）、后、左、右4个方向、距离1米、距离地面1.5米处测量并记录噪声数值。</w:t>
      </w:r>
    </w:p>
    <w:tbl>
      <w:tblPr>
        <w:tblStyle w:val="8"/>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5"/>
        <w:gridCol w:w="1588"/>
        <w:gridCol w:w="1676"/>
        <w:gridCol w:w="1675"/>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80" w:type="dxa"/>
            <w:gridSpan w:val="5"/>
            <w:shd w:val="clear" w:color="auto" w:fill="auto"/>
            <w:vAlign w:val="center"/>
          </w:tcPr>
          <w:p>
            <w:pPr>
              <w:adjustRightInd w:val="0"/>
              <w:snapToGrid w:val="0"/>
              <w:spacing w:line="360" w:lineRule="auto"/>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品牌：                  型号：                 </w:t>
            </w:r>
          </w:p>
          <w:p>
            <w:pPr>
              <w:adjustRightInd w:val="0"/>
              <w:snapToGrid w:val="0"/>
              <w:spacing w:line="360" w:lineRule="auto"/>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额定功率：      □PRP □ESP □COP □LTP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80" w:type="dxa"/>
            <w:gridSpan w:val="5"/>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数据记录（dB（A））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765"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正前方（风扇侧）</w:t>
            </w:r>
          </w:p>
        </w:tc>
        <w:tc>
          <w:tcPr>
            <w:tcW w:w="1588"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正后方</w:t>
            </w:r>
          </w:p>
        </w:tc>
        <w:tc>
          <w:tcPr>
            <w:tcW w:w="1676"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左侧</w:t>
            </w:r>
          </w:p>
        </w:tc>
        <w:tc>
          <w:tcPr>
            <w:tcW w:w="1675"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右侧</w:t>
            </w:r>
          </w:p>
        </w:tc>
        <w:tc>
          <w:tcPr>
            <w:tcW w:w="1676"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765"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p>
        </w:tc>
        <w:tc>
          <w:tcPr>
            <w:tcW w:w="1588"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p>
        </w:tc>
        <w:tc>
          <w:tcPr>
            <w:tcW w:w="1676"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p>
        </w:tc>
        <w:tc>
          <w:tcPr>
            <w:tcW w:w="1675"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p>
        </w:tc>
        <w:tc>
          <w:tcPr>
            <w:tcW w:w="1676" w:type="dxa"/>
            <w:shd w:val="clear" w:color="auto" w:fill="auto"/>
            <w:vAlign w:val="center"/>
          </w:tcPr>
          <w:p>
            <w:pPr>
              <w:adjustRightInd w:val="0"/>
              <w:snapToGrid w:val="0"/>
              <w:spacing w:line="360" w:lineRule="auto"/>
              <w:jc w:val="center"/>
              <w:outlineLvl w:val="0"/>
              <w:rPr>
                <w:rFonts w:hint="eastAsia" w:ascii="仿宋" w:hAnsi="仿宋" w:eastAsia="仿宋" w:cs="仿宋"/>
                <w:color w:val="000000" w:themeColor="text1"/>
                <w:sz w:val="24"/>
                <w:szCs w:val="24"/>
                <w14:textFill>
                  <w14:solidFill>
                    <w14:schemeClr w14:val="tx1"/>
                  </w14:solidFill>
                </w14:textFill>
              </w:rPr>
            </w:pPr>
          </w:p>
        </w:tc>
      </w:tr>
    </w:tbl>
    <w:p>
      <w:pPr>
        <w:spacing w:line="360" w:lineRule="auto"/>
        <w:rPr>
          <w:rFonts w:hint="eastAsia" w:ascii="仿宋" w:hAnsi="仿宋" w:eastAsia="仿宋" w:cs="仿宋"/>
          <w:color w:val="000000" w:themeColor="text1"/>
          <w:sz w:val="32"/>
          <w:szCs w:val="32"/>
          <w14:textFill>
            <w14:solidFill>
              <w14:schemeClr w14:val="tx1"/>
            </w14:solidFill>
          </w14:textFill>
        </w:rPr>
      </w:pPr>
    </w:p>
    <w:sectPr>
      <w:footerReference r:id="rId4" w:type="default"/>
      <w:pgSz w:w="11906" w:h="16838"/>
      <w:pgMar w:top="1701" w:right="1871" w:bottom="1701" w:left="187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ndara">
    <w:panose1 w:val="020E0502030303020204"/>
    <w:charset w:val="00"/>
    <w:family w:val="swiss"/>
    <w:pitch w:val="default"/>
    <w:sig w:usb0="A00002EF" w:usb1="4000A44B" w:usb2="00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5570" cy="139700"/>
              <wp:effectExtent l="0" t="0" r="0" b="0"/>
              <wp:wrapNone/>
              <wp:docPr id="3"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115570" cy="139700"/>
                      </a:xfrm>
                      <a:prstGeom prst="rect">
                        <a:avLst/>
                      </a:prstGeom>
                      <a:noFill/>
                      <a:ln>
                        <a:noFill/>
                      </a:ln>
                    </wps:spPr>
                    <wps:txbx>
                      <w:txbxContent>
                        <w:p>
                          <w:pPr>
                            <w:pStyle w:val="6"/>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10</w:t>
                          </w:r>
                          <w:r>
                            <w:rPr>
                              <w:rFonts w:ascii="Times New Roman" w:hAnsi="Times New Roman"/>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1pt;width:9.1pt;mso-position-horizontal:center;mso-position-horizontal-relative:margin;mso-wrap-style:none;z-index:251659264;mso-width-relative:page;mso-height-relative:page;" filled="f" stroked="f" coordsize="21600,21600" o:gfxdata="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c1GnrP&#10;AAAAAwEAAA8AAAAAAAAAAQAgAAAAIgAAAGRycy9kb3ducmV2LnhtbFBLAQIUABQAAAAIAIdO4kC5&#10;7obc8AEAALcDAAAOAAAAAAAAAAEAIAAAAB4BAABkcnMvZTJvRG9jLnhtbFBLBQYAAAAABgAGAFkB&#10;AACABQAAAAA=&#10;">
              <v:fill on="f" focussize="0,0"/>
              <v:stroke on="f"/>
              <v:imagedata o:title=""/>
              <o:lock v:ext="edit" aspectratio="f"/>
              <v:textbox inset="0mm,0mm,0mm,0mm" style="mso-fit-shape-to-text:t;">
                <w:txbxContent>
                  <w:p>
                    <w:pPr>
                      <w:pStyle w:val="6"/>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10</w:t>
                    </w:r>
                    <w:r>
                      <w:rPr>
                        <w:rFonts w:ascii="Times New Roman" w:hAnsi="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5570" cy="139700"/>
              <wp:effectExtent l="0" t="0" r="635" b="0"/>
              <wp:wrapNone/>
              <wp:docPr id="1"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115570" cy="139700"/>
                      </a:xfrm>
                      <a:prstGeom prst="rect">
                        <a:avLst/>
                      </a:prstGeom>
                      <a:noFill/>
                      <a:ln>
                        <a:noFill/>
                      </a:ln>
                    </wps:spPr>
                    <wps:txbx>
                      <w:txbxContent>
                        <w:p>
                          <w:pPr>
                            <w:pStyle w:val="6"/>
                          </w:pPr>
                          <w:r>
                            <w:fldChar w:fldCharType="begin"/>
                          </w:r>
                          <w:r>
                            <w:instrText xml:space="preserve"> PAGE  \* MERGEFORMAT </w:instrText>
                          </w:r>
                          <w:r>
                            <w:fldChar w:fldCharType="separate"/>
                          </w:r>
                          <w:r>
                            <w:t>10</w:t>
                          </w:r>
                          <w: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1pt;width:9.1pt;mso-position-horizontal:center;mso-position-horizontal-relative:margin;mso-wrap-style:none;z-index:251659264;mso-width-relative:page;mso-height-relative:page;" filled="f" stroked="f" coordsize="21600,21600" o:gfxdata="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zUaes8A&#10;AAADAQAADwAAAAAAAAABACAAAAAiAAAAZHJzL2Rvd25yZXYueG1sUEsBAhQAFAAAAAgAh07iQADU&#10;ujrvAQAAtwMAAA4AAAAAAAAAAQAgAAAAHgEAAGRycy9lMm9Eb2MueG1sUEsFBgAAAAAGAAYAWQEA&#10;AH8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7410C"/>
    <w:multiLevelType w:val="multilevel"/>
    <w:tmpl w:val="1697410C"/>
    <w:lvl w:ilvl="0" w:tentative="0">
      <w:start w:val="1"/>
      <w:numFmt w:val="bullet"/>
      <w:lvlText w:val=""/>
      <w:lvlJc w:val="left"/>
      <w:pPr>
        <w:ind w:left="1180" w:hanging="420"/>
      </w:pPr>
      <w:rPr>
        <w:rFonts w:hint="default" w:ascii="Wingdings" w:hAnsi="Wingdings"/>
      </w:rPr>
    </w:lvl>
    <w:lvl w:ilvl="1" w:tentative="0">
      <w:start w:val="1"/>
      <w:numFmt w:val="bullet"/>
      <w:lvlText w:val=""/>
      <w:lvlJc w:val="left"/>
      <w:pPr>
        <w:ind w:left="1600" w:hanging="420"/>
      </w:pPr>
      <w:rPr>
        <w:rFonts w:hint="default" w:ascii="Wingdings" w:hAnsi="Wingdings"/>
      </w:rPr>
    </w:lvl>
    <w:lvl w:ilvl="2" w:tentative="0">
      <w:start w:val="1"/>
      <w:numFmt w:val="bullet"/>
      <w:lvlText w:val=""/>
      <w:lvlJc w:val="left"/>
      <w:pPr>
        <w:ind w:left="2020" w:hanging="420"/>
      </w:pPr>
      <w:rPr>
        <w:rFonts w:hint="default" w:ascii="Wingdings" w:hAnsi="Wingdings"/>
      </w:rPr>
    </w:lvl>
    <w:lvl w:ilvl="3" w:tentative="0">
      <w:start w:val="1"/>
      <w:numFmt w:val="bullet"/>
      <w:lvlText w:val=""/>
      <w:lvlJc w:val="left"/>
      <w:pPr>
        <w:ind w:left="2440" w:hanging="420"/>
      </w:pPr>
      <w:rPr>
        <w:rFonts w:hint="default" w:ascii="Wingdings" w:hAnsi="Wingdings"/>
      </w:rPr>
    </w:lvl>
    <w:lvl w:ilvl="4" w:tentative="0">
      <w:start w:val="1"/>
      <w:numFmt w:val="bullet"/>
      <w:lvlText w:val=""/>
      <w:lvlJc w:val="left"/>
      <w:pPr>
        <w:ind w:left="2860" w:hanging="420"/>
      </w:pPr>
      <w:rPr>
        <w:rFonts w:hint="default" w:ascii="Wingdings" w:hAnsi="Wingdings"/>
      </w:rPr>
    </w:lvl>
    <w:lvl w:ilvl="5" w:tentative="0">
      <w:start w:val="1"/>
      <w:numFmt w:val="bullet"/>
      <w:lvlText w:val=""/>
      <w:lvlJc w:val="left"/>
      <w:pPr>
        <w:ind w:left="3280" w:hanging="420"/>
      </w:pPr>
      <w:rPr>
        <w:rFonts w:hint="default" w:ascii="Wingdings" w:hAnsi="Wingdings"/>
      </w:rPr>
    </w:lvl>
    <w:lvl w:ilvl="6" w:tentative="0">
      <w:start w:val="1"/>
      <w:numFmt w:val="bullet"/>
      <w:lvlText w:val=""/>
      <w:lvlJc w:val="left"/>
      <w:pPr>
        <w:ind w:left="3700" w:hanging="420"/>
      </w:pPr>
      <w:rPr>
        <w:rFonts w:hint="default" w:ascii="Wingdings" w:hAnsi="Wingdings"/>
      </w:rPr>
    </w:lvl>
    <w:lvl w:ilvl="7" w:tentative="0">
      <w:start w:val="1"/>
      <w:numFmt w:val="bullet"/>
      <w:lvlText w:val=""/>
      <w:lvlJc w:val="left"/>
      <w:pPr>
        <w:ind w:left="4120" w:hanging="420"/>
      </w:pPr>
      <w:rPr>
        <w:rFonts w:hint="default" w:ascii="Wingdings" w:hAnsi="Wingdings"/>
      </w:rPr>
    </w:lvl>
    <w:lvl w:ilvl="8" w:tentative="0">
      <w:start w:val="1"/>
      <w:numFmt w:val="bullet"/>
      <w:lvlText w:val=""/>
      <w:lvlJc w:val="left"/>
      <w:pPr>
        <w:ind w:left="4540" w:hanging="420"/>
      </w:pPr>
      <w:rPr>
        <w:rFonts w:hint="default" w:ascii="Wingdings" w:hAnsi="Wingdings"/>
      </w:rPr>
    </w:lvl>
  </w:abstractNum>
  <w:abstractNum w:abstractNumId="1">
    <w:nsid w:val="42713452"/>
    <w:multiLevelType w:val="singleLevel"/>
    <w:tmpl w:val="42713452"/>
    <w:lvl w:ilvl="0" w:tentative="0">
      <w:start w:val="1"/>
      <w:numFmt w:val="bullet"/>
      <w:pStyle w:val="22"/>
      <w:lvlText w:val="–"/>
      <w:lvlJc w:val="left"/>
      <w:pPr>
        <w:tabs>
          <w:tab w:val="left" w:pos="1417"/>
        </w:tabs>
        <w:ind w:left="1417" w:hanging="567"/>
      </w:pPr>
    </w:lvl>
  </w:abstractNum>
  <w:abstractNum w:abstractNumId="2">
    <w:nsid w:val="44C50F90"/>
    <w:multiLevelType w:val="multilevel"/>
    <w:tmpl w:val="44C50F90"/>
    <w:lvl w:ilvl="0" w:tentative="0">
      <w:start w:val="1"/>
      <w:numFmt w:val="lowerLetter"/>
      <w:pStyle w:val="19"/>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45A335F4"/>
    <w:multiLevelType w:val="multilevel"/>
    <w:tmpl w:val="45A335F4"/>
    <w:lvl w:ilvl="0" w:tentative="0">
      <w:start w:val="1"/>
      <w:numFmt w:val="decimal"/>
      <w:lvlText w:val="（%1）"/>
      <w:lvlJc w:val="left"/>
      <w:pPr>
        <w:ind w:left="420" w:hanging="420"/>
      </w:pPr>
      <w:rPr>
        <w:rFonts w:hint="default" w:ascii="宋体" w:hAnsi="宋体" w:eastAsia="宋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1A6B75"/>
    <w:multiLevelType w:val="multilevel"/>
    <w:tmpl w:val="4F1A6B75"/>
    <w:lvl w:ilvl="0" w:tentative="0">
      <w:start w:val="1"/>
      <w:numFmt w:val="decimal"/>
      <w:lvlText w:val="%1."/>
      <w:lvlJc w:val="left"/>
      <w:pPr>
        <w:ind w:left="425" w:hanging="425"/>
      </w:pPr>
    </w:lvl>
    <w:lvl w:ilvl="1" w:tentative="0">
      <w:start w:val="1"/>
      <w:numFmt w:val="decimal"/>
      <w:lvlText w:val="5.%2"/>
      <w:lvlJc w:val="left"/>
      <w:pPr>
        <w:ind w:left="567" w:hanging="567"/>
      </w:pPr>
      <w:rPr>
        <w:rFonts w:hint="eastAsia" w:ascii="黑体" w:hAnsi="黑体" w:eastAsia="黑体"/>
      </w:rPr>
    </w:lvl>
    <w:lvl w:ilvl="2" w:tentative="0">
      <w:start w:val="1"/>
      <w:numFmt w:val="decimal"/>
      <w:lvlText w:val="%1.%2.%3."/>
      <w:lvlJc w:val="left"/>
      <w:pPr>
        <w:ind w:left="709" w:hanging="709"/>
      </w:pPr>
      <w:rPr>
        <w:rFonts w:ascii="黑体" w:hAnsi="黑体" w:eastAsia="黑体"/>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60C64B0A"/>
    <w:multiLevelType w:val="multilevel"/>
    <w:tmpl w:val="60C64B0A"/>
    <w:lvl w:ilvl="0" w:tentative="0">
      <w:start w:val="1"/>
      <w:numFmt w:val="decimal"/>
      <w:lvlText w:val="%1."/>
      <w:lvlJc w:val="left"/>
      <w:pPr>
        <w:ind w:left="425" w:hanging="425"/>
      </w:pPr>
    </w:lvl>
    <w:lvl w:ilvl="1" w:tentative="0">
      <w:start w:val="1"/>
      <w:numFmt w:val="decimal"/>
      <w:lvlText w:val="%1.%2."/>
      <w:lvlJc w:val="left"/>
      <w:pPr>
        <w:ind w:left="567" w:hanging="567"/>
      </w:pPr>
      <w:rPr>
        <w:rFonts w:ascii="黑体" w:hAnsi="黑体" w:eastAsia="黑体"/>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71616936"/>
    <w:multiLevelType w:val="multilevel"/>
    <w:tmpl w:val="71616936"/>
    <w:lvl w:ilvl="0" w:tentative="0">
      <w:start w:val="4"/>
      <w:numFmt w:val="decimal"/>
      <w:lvlText w:val="%1."/>
      <w:lvlJc w:val="left"/>
      <w:pPr>
        <w:ind w:left="425" w:hanging="425"/>
      </w:pPr>
      <w:rPr>
        <w:rFonts w:hint="eastAsia"/>
      </w:rPr>
    </w:lvl>
    <w:lvl w:ilvl="1" w:tentative="0">
      <w:start w:val="1"/>
      <w:numFmt w:val="decimal"/>
      <w:lvlText w:val="%1.%2."/>
      <w:lvlJc w:val="left"/>
      <w:pPr>
        <w:ind w:left="567" w:hanging="567"/>
      </w:pPr>
      <w:rPr>
        <w:rFonts w:hint="eastAsia" w:ascii="黑体" w:hAnsi="黑体" w:eastAsia="黑体"/>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2"/>
  </w:num>
  <w:num w:numId="2">
    <w:abstractNumId w:val="1"/>
    <w:lvlOverride w:ilvl="0">
      <w:startOverride w:val="1"/>
    </w:lvlOverride>
  </w:num>
  <w:num w:numId="3">
    <w:abstractNumId w:val="5"/>
  </w:num>
  <w:num w:numId="4">
    <w:abstractNumId w:val="4"/>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3YTM5MDMyYTdjOGEyNzI0NTNmYzM3ZTU2YjYxMGUifQ=="/>
  </w:docVars>
  <w:rsids>
    <w:rsidRoot w:val="00986137"/>
    <w:rsid w:val="0000217C"/>
    <w:rsid w:val="00013164"/>
    <w:rsid w:val="00050CE9"/>
    <w:rsid w:val="00066209"/>
    <w:rsid w:val="000E4E9D"/>
    <w:rsid w:val="001B5F3E"/>
    <w:rsid w:val="002A658E"/>
    <w:rsid w:val="002C12B0"/>
    <w:rsid w:val="00310428"/>
    <w:rsid w:val="003843C0"/>
    <w:rsid w:val="003F3F5E"/>
    <w:rsid w:val="00443728"/>
    <w:rsid w:val="0045715B"/>
    <w:rsid w:val="004A60CA"/>
    <w:rsid w:val="004D25C9"/>
    <w:rsid w:val="004F5CB3"/>
    <w:rsid w:val="00520497"/>
    <w:rsid w:val="00525A34"/>
    <w:rsid w:val="00545158"/>
    <w:rsid w:val="00636DFB"/>
    <w:rsid w:val="00672932"/>
    <w:rsid w:val="0072788E"/>
    <w:rsid w:val="00746DD4"/>
    <w:rsid w:val="00752F68"/>
    <w:rsid w:val="007A2A9A"/>
    <w:rsid w:val="00945F01"/>
    <w:rsid w:val="0097042C"/>
    <w:rsid w:val="00986137"/>
    <w:rsid w:val="00997180"/>
    <w:rsid w:val="009E0D2C"/>
    <w:rsid w:val="00AA0ADF"/>
    <w:rsid w:val="00AA43B1"/>
    <w:rsid w:val="00B431AE"/>
    <w:rsid w:val="00C15A42"/>
    <w:rsid w:val="00C83510"/>
    <w:rsid w:val="00D21184"/>
    <w:rsid w:val="00D84F5B"/>
    <w:rsid w:val="00DB06AC"/>
    <w:rsid w:val="00DB5EE9"/>
    <w:rsid w:val="00DE25FE"/>
    <w:rsid w:val="00DF403E"/>
    <w:rsid w:val="00E21223"/>
    <w:rsid w:val="00E35022"/>
    <w:rsid w:val="00E5349C"/>
    <w:rsid w:val="00F44720"/>
    <w:rsid w:val="00FD6B88"/>
    <w:rsid w:val="01474FF6"/>
    <w:rsid w:val="01820D9F"/>
    <w:rsid w:val="022C280E"/>
    <w:rsid w:val="028F330C"/>
    <w:rsid w:val="03ED74FB"/>
    <w:rsid w:val="04A42800"/>
    <w:rsid w:val="05867C9E"/>
    <w:rsid w:val="06280801"/>
    <w:rsid w:val="06F01CC4"/>
    <w:rsid w:val="07222102"/>
    <w:rsid w:val="07490EF0"/>
    <w:rsid w:val="0A6132B4"/>
    <w:rsid w:val="0BA26A93"/>
    <w:rsid w:val="0C7F7A1F"/>
    <w:rsid w:val="0E6B37E2"/>
    <w:rsid w:val="0EF52B10"/>
    <w:rsid w:val="135F6DF7"/>
    <w:rsid w:val="142774DC"/>
    <w:rsid w:val="16107C38"/>
    <w:rsid w:val="17A84617"/>
    <w:rsid w:val="19FE0B5E"/>
    <w:rsid w:val="1C6D22B3"/>
    <w:rsid w:val="1C7A416E"/>
    <w:rsid w:val="1CE1E489"/>
    <w:rsid w:val="1E5F60BE"/>
    <w:rsid w:val="1E851FF8"/>
    <w:rsid w:val="2087173A"/>
    <w:rsid w:val="21E42A3A"/>
    <w:rsid w:val="22C86D77"/>
    <w:rsid w:val="23EF2A63"/>
    <w:rsid w:val="2795C792"/>
    <w:rsid w:val="2EFE3B90"/>
    <w:rsid w:val="32794F04"/>
    <w:rsid w:val="33D84404"/>
    <w:rsid w:val="34B30504"/>
    <w:rsid w:val="35BF9F1A"/>
    <w:rsid w:val="37EB415F"/>
    <w:rsid w:val="39FF1B89"/>
    <w:rsid w:val="3AAD6B92"/>
    <w:rsid w:val="3B7D453C"/>
    <w:rsid w:val="3BFD0B76"/>
    <w:rsid w:val="3BFFED42"/>
    <w:rsid w:val="3EAB0813"/>
    <w:rsid w:val="3EDF6AB3"/>
    <w:rsid w:val="3EFE5516"/>
    <w:rsid w:val="3F5F1F6B"/>
    <w:rsid w:val="3FF7DF11"/>
    <w:rsid w:val="3FF7EC16"/>
    <w:rsid w:val="3FF8232D"/>
    <w:rsid w:val="3FFB35FE"/>
    <w:rsid w:val="40CE027F"/>
    <w:rsid w:val="411F23E5"/>
    <w:rsid w:val="41D85B2D"/>
    <w:rsid w:val="44A659B5"/>
    <w:rsid w:val="473A3BFB"/>
    <w:rsid w:val="473A67BC"/>
    <w:rsid w:val="477AB856"/>
    <w:rsid w:val="481D023C"/>
    <w:rsid w:val="49635EDC"/>
    <w:rsid w:val="49675CDE"/>
    <w:rsid w:val="49D4364A"/>
    <w:rsid w:val="4DC02ADD"/>
    <w:rsid w:val="52C46CF5"/>
    <w:rsid w:val="571B466F"/>
    <w:rsid w:val="57FBB098"/>
    <w:rsid w:val="58256A5D"/>
    <w:rsid w:val="5993485B"/>
    <w:rsid w:val="59DD379F"/>
    <w:rsid w:val="59E87234"/>
    <w:rsid w:val="5AF7FC68"/>
    <w:rsid w:val="5B9C2F5A"/>
    <w:rsid w:val="5CC6692D"/>
    <w:rsid w:val="5D0F655C"/>
    <w:rsid w:val="5ED4259E"/>
    <w:rsid w:val="5FFD2A21"/>
    <w:rsid w:val="61BD2AB1"/>
    <w:rsid w:val="62ED48A4"/>
    <w:rsid w:val="64F97173"/>
    <w:rsid w:val="65BC0B4F"/>
    <w:rsid w:val="68021EF6"/>
    <w:rsid w:val="696604BB"/>
    <w:rsid w:val="6A3F4566"/>
    <w:rsid w:val="6D0F1207"/>
    <w:rsid w:val="6D303155"/>
    <w:rsid w:val="6D4E5BFD"/>
    <w:rsid w:val="6DFF46E8"/>
    <w:rsid w:val="6E4F53A4"/>
    <w:rsid w:val="6E6D6BD7"/>
    <w:rsid w:val="72964752"/>
    <w:rsid w:val="73D7250B"/>
    <w:rsid w:val="73FD8F99"/>
    <w:rsid w:val="767F6D91"/>
    <w:rsid w:val="7699695A"/>
    <w:rsid w:val="76BF18FA"/>
    <w:rsid w:val="77AD703E"/>
    <w:rsid w:val="77B77296"/>
    <w:rsid w:val="77FCC965"/>
    <w:rsid w:val="78B06273"/>
    <w:rsid w:val="7A6F1F5A"/>
    <w:rsid w:val="7AD766B3"/>
    <w:rsid w:val="7B7BA374"/>
    <w:rsid w:val="7C2377CC"/>
    <w:rsid w:val="7CB41EA6"/>
    <w:rsid w:val="7DFF6ECD"/>
    <w:rsid w:val="7ED56A05"/>
    <w:rsid w:val="7EE68496"/>
    <w:rsid w:val="7F6884C0"/>
    <w:rsid w:val="7F7FCEDB"/>
    <w:rsid w:val="7F913D3D"/>
    <w:rsid w:val="7FEE276D"/>
    <w:rsid w:val="7FFFBABE"/>
    <w:rsid w:val="96FE8F0C"/>
    <w:rsid w:val="9F3EE0F3"/>
    <w:rsid w:val="A5FDB8DA"/>
    <w:rsid w:val="AA45603A"/>
    <w:rsid w:val="ACFF11A1"/>
    <w:rsid w:val="AF3EF230"/>
    <w:rsid w:val="AFBBA3A9"/>
    <w:rsid w:val="B3F6ABD2"/>
    <w:rsid w:val="B6FB84CC"/>
    <w:rsid w:val="BDE9757D"/>
    <w:rsid w:val="BEBB0CE3"/>
    <w:rsid w:val="BEE9EA29"/>
    <w:rsid w:val="BFEF1208"/>
    <w:rsid w:val="C5B6867B"/>
    <w:rsid w:val="CFF7EC3E"/>
    <w:rsid w:val="DC35005C"/>
    <w:rsid w:val="DF9CBB7F"/>
    <w:rsid w:val="DFFF5E63"/>
    <w:rsid w:val="E7BFF788"/>
    <w:rsid w:val="EDFA4E20"/>
    <w:rsid w:val="EEF778B9"/>
    <w:rsid w:val="F0F77CD8"/>
    <w:rsid w:val="F1BF4530"/>
    <w:rsid w:val="F4FD4B1D"/>
    <w:rsid w:val="F6D70726"/>
    <w:rsid w:val="F75F035B"/>
    <w:rsid w:val="F7D10138"/>
    <w:rsid w:val="F7F9765F"/>
    <w:rsid w:val="F9FF4C58"/>
    <w:rsid w:val="FBBBCA3F"/>
    <w:rsid w:val="FBEFDE4A"/>
    <w:rsid w:val="FBFA1CDC"/>
    <w:rsid w:val="FDBC156D"/>
    <w:rsid w:val="FDFF8FB0"/>
    <w:rsid w:val="FEEC050D"/>
    <w:rsid w:val="FF3ECA11"/>
    <w:rsid w:val="FFB54557"/>
    <w:rsid w:val="FFE56515"/>
    <w:rsid w:val="FFF0924D"/>
    <w:rsid w:val="FFF7B651"/>
    <w:rsid w:val="FFF7DA7D"/>
    <w:rsid w:val="FFFD0B09"/>
    <w:rsid w:val="FFFF2A40"/>
    <w:rsid w:val="FFFFE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alloon Text"/>
    <w:basedOn w:val="1"/>
    <w:link w:val="20"/>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basedOn w:val="10"/>
    <w:unhideWhenUsed/>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Default"/>
    <w:qFormat/>
    <w:uiPriority w:val="0"/>
    <w:pPr>
      <w:widowControl w:val="0"/>
      <w:autoSpaceDE w:val="0"/>
      <w:autoSpaceDN w:val="0"/>
      <w:adjustRightInd w:val="0"/>
    </w:pPr>
    <w:rPr>
      <w:rFonts w:ascii="Candara" w:hAnsi="Candara" w:eastAsia="宋体" w:cs="Candara"/>
      <w:color w:val="000000"/>
      <w:sz w:val="24"/>
      <w:szCs w:val="24"/>
      <w:lang w:val="en-US" w:eastAsia="zh-CN" w:bidi="ar-SA"/>
    </w:rPr>
  </w:style>
  <w:style w:type="character" w:customStyle="1" w:styleId="14">
    <w:name w:val="fontstyle01"/>
    <w:qFormat/>
    <w:uiPriority w:val="0"/>
    <w:rPr>
      <w:rFonts w:hint="eastAsia" w:ascii="宋体" w:hAnsi="宋体" w:eastAsia="宋体"/>
      <w:color w:val="000000"/>
      <w:sz w:val="24"/>
      <w:szCs w:val="24"/>
    </w:rPr>
  </w:style>
  <w:style w:type="paragraph" w:styleId="15">
    <w:name w:val="List Paragraph"/>
    <w:basedOn w:val="1"/>
    <w:qFormat/>
    <w:uiPriority w:val="34"/>
    <w:pPr>
      <w:widowControl/>
      <w:spacing w:after="94" w:line="265" w:lineRule="auto"/>
      <w:ind w:left="309" w:right="155" w:firstLine="420" w:firstLineChars="200"/>
      <w:jc w:val="left"/>
    </w:pPr>
    <w:rPr>
      <w:rFonts w:ascii="宋体" w:hAnsi="宋体" w:cs="宋体"/>
      <w:color w:val="000000"/>
      <w:sz w:val="18"/>
    </w:rPr>
  </w:style>
  <w:style w:type="table" w:customStyle="1" w:styleId="16">
    <w:name w:val="网格型浅色1"/>
    <w:basedOn w:val="8"/>
    <w:qFormat/>
    <w:uiPriority w:val="40"/>
    <w:tblPr>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Pr>
  </w:style>
  <w:style w:type="paragraph" w:customStyle="1" w:styleId="17">
    <w:name w:val="标准文件_附录一级无标题"/>
    <w:basedOn w:val="18"/>
    <w:qFormat/>
    <w:uiPriority w:val="0"/>
    <w:pPr>
      <w:spacing w:before="0" w:beforeLines="0" w:after="0" w:afterLines="0" w:line="276" w:lineRule="auto"/>
      <w:outlineLvl w:val="9"/>
    </w:pPr>
    <w:rPr>
      <w:rFonts w:ascii="宋体" w:eastAsia="宋体"/>
    </w:rPr>
  </w:style>
  <w:style w:type="paragraph" w:customStyle="1" w:styleId="18">
    <w:name w:val="标准文件_附录一级条标题"/>
    <w:next w:val="1"/>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9">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character" w:customStyle="1" w:styleId="20">
    <w:name w:val="批注框文本 字符"/>
    <w:basedOn w:val="10"/>
    <w:link w:val="5"/>
    <w:qFormat/>
    <w:uiPriority w:val="0"/>
    <w:rPr>
      <w:kern w:val="2"/>
      <w:sz w:val="18"/>
      <w:szCs w:val="18"/>
    </w:rPr>
  </w:style>
  <w:style w:type="character" w:customStyle="1" w:styleId="21">
    <w:name w:val="fontstyle21"/>
    <w:basedOn w:val="10"/>
    <w:qFormat/>
    <w:uiPriority w:val="0"/>
    <w:rPr>
      <w:rFonts w:hint="default" w:ascii="TimesNewRomanPSMT" w:hAnsi="TimesNewRomanPSMT"/>
      <w:color w:val="000000"/>
      <w:sz w:val="22"/>
      <w:szCs w:val="22"/>
    </w:rPr>
  </w:style>
  <w:style w:type="paragraph" w:customStyle="1" w:styleId="22">
    <w:name w:val="Tiret 1"/>
    <w:basedOn w:val="1"/>
    <w:qFormat/>
    <w:uiPriority w:val="0"/>
    <w:pPr>
      <w:widowControl/>
      <w:numPr>
        <w:ilvl w:val="0"/>
        <w:numId w:val="2"/>
      </w:numPr>
      <w:spacing w:before="120" w:after="120"/>
    </w:pPr>
    <w:rPr>
      <w:rFonts w:ascii="Times New Roman" w:hAnsi="Times New Roman"/>
      <w:kern w:val="0"/>
      <w:sz w:val="24"/>
      <w:lang w:val="en-GB" w:eastAsia="en-US"/>
    </w:rPr>
  </w:style>
  <w:style w:type="paragraph" w:customStyle="1" w:styleId="23">
    <w:name w:val="Point 1"/>
    <w:basedOn w:val="1"/>
    <w:qFormat/>
    <w:uiPriority w:val="0"/>
    <w:pPr>
      <w:widowControl/>
      <w:spacing w:before="120" w:after="120"/>
      <w:ind w:left="1417" w:hanging="567"/>
    </w:pPr>
    <w:rPr>
      <w:rFonts w:ascii="Times New Roman" w:hAnsi="Times New Roman"/>
      <w:kern w:val="0"/>
      <w:sz w:val="24"/>
      <w:lang w:val="en-GB" w:eastAsia="en-US"/>
    </w:rPr>
  </w:style>
  <w:style w:type="paragraph" w:customStyle="1" w:styleId="24">
    <w:name w:val="修订1"/>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7928</Words>
  <Characters>9660</Characters>
  <Lines>85</Lines>
  <Paragraphs>23</Paragraphs>
  <TotalTime>4</TotalTime>
  <ScaleCrop>false</ScaleCrop>
  <LinksUpToDate>false</LinksUpToDate>
  <CharactersWithSpaces>10172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2021-12-20T07:22:00Z</dcterms:created>
  <dc:creator>Administrator</dc:creator>
  <cp:lastModifiedBy>张璐</cp:lastModifiedBy>
  <cp:lastPrinted>2022-09-25T21:52:00Z</cp:lastPrinted>
  <dcterms:modified xsi:type="dcterms:W3CDTF">2023-04-13T06:11:06Z</dcterms:modified>
  <dc:title>附件：</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5D5E3D29122B4766BCF264D041C214CC</vt:lpwstr>
  </property>
</Properties>
</file>