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中华人民共和国国务院令</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第722号</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《优化营商环境条例》已经2019年10月8日国务院第66次常务会议通过，现予公布，自2020年1月1日起施行。</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总　理　　李克强                </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2019年10月22日  </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优化营商环境条例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第一章　总　　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第一条　为了持续优化营商环境，不断解放和发展社会生产力，加快建设现代化经济体系，推动高质量发展，制定本条例。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第二条　本条例所称营商环境，是指企业等市场主体在市场经济活动中所涉及的体制机制性因素和条件。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第三条　国家持续深化简政放权、放管结合、优化服务改革，最大限度减少政府对市场资源的直接配置，最大限度减少政府对市场活动的直接干预，加强和规范事中事后监管，着力提升政务服务能力和水平，切实降低制度性交易成本，更大激发市场活力和社会创造力，增强发展动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各级人民政府及其部门应当坚持政务公开透明，以公开为常态、不公开为例外，全面推进决策、执行、管理、服务、结果公开。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第四条　优化营商环境应当坚持市场化、法治化、国际化原则，以市场主体需求为导向，以深刻转变政府职能为核心，创新体制机制、强化协同联动、完善法治保障，对标国际先进水平，为各类市场主体投资兴业营造稳定、公平、透明、可预期的良好环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第五条　国家加快建立统一开放、竞争有序的现代市场体系，依法促进各类生产要素自由流动，保障各类市场主体公平参与市场竞争。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第六条　国家鼓励、支持、引导非公有制经济发展，激发非公有制经济活力和创造力。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国家进一步扩大对外开放，积极促进外商投资，平等对待内资企业、外商投资企业等各类市场主体。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第七条　各级人民政府应当加强对优化营商环境工作的组织领导，完善优化营商环境的政策措施，建立健全统筹推进、督促落实优化营商环境工作的相关机制，及时协调、解决优化营商环境工作中的重大问题。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县级以上人民政府有关部门应当按照职责分工，做好优化营商环境的相关工作。县级以上地方人民政府根据实际情况，可以明确优化营商环境工作的主管部门。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国家鼓励和支持各地区、各部门结合实际情况，在法治框架内积极探索原创性、差异化的优化营商环境具体措施；对探索中出现失误或者偏差，符合规定条件的，可以予以免责或者减轻责任。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第八条　国家建立和完善以市场主体和社会公众满意度为导向的营商环境评价体系，发挥营商环境评价对优化营商环境的引领和督促作用。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开展营商环境评价，不得影响各地区、各部门正常工作，不得影响市场主体正常生产经营活动或者增加市场主体负担。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任何单位不得利用营商环境评价谋取利益。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第九条　市场主体应当遵守法律法规，恪守社会公德和商业道德，诚实守信、公平竞争，履行安全、质量、劳动者权益保护、消费者权益保护等方面的法定义务，在国际经贸活动中遵循国际通行规则。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第二章　市场主体保护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第十条　国家坚持权利平等、机会平等、规则平等，保障各种所有制经济平等受到法律保护。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第十一条　市场主体依法享有经营自主权。对依法应当由市场主体自主决策的各类事项，任何单位和个人不得干预。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第十二条　国家保障各类市场主体依法平等使用资金、技术、人力资源、土地使用权及其他自然资源等各类生产要素和公共服务资源。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各类市场主体依法平等适用国家支持发展的政策。政府及其有关部门在政府资金安排、土地供应、税费减免、资质许可、标准制定、项目申报、职称评定、人力资源政策等方面，应当依法平等对待各类市场主体，不得制定或者实施歧视性政策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第十三条　招标投标和政府采购应当公开透明、公平公正，依法平等对待各类所有制和不同地区的市场主体，不得以不合理条件或者产品产地来源等进行限制或者排斥。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政府有关部门应当加强招标投标和政府采购监管，依法纠正和查处违法违规行为。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第十四条　国家依法保护市场主体的财产权和其他合法权益，保护企业经营者人身和财产安全。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严禁违反法定权限、条件、程序对市场主体的财产和企业经营者个人财产实施查封、冻结和扣押等行政强制措施；依法确需实施前述行政强制措施的，应当限定在所必需的范围内。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禁止在法律、法规规定之外要求市场主体提供财力、物力或者人力的摊派行为。市场主体有权拒绝任何形式的摊派。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第十五条　国家建立知识产权侵权惩罚性赔偿制度，推动建立知识产权快速协同保护机制，健全知识产权纠纷多元化解决机制和知识产权维权援助机制，加大对知识产权的保护力度。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国家持续深化商标注册、专利申请便利化改革，提高商标注册、专利申请审查效率。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第十六条　国家加大中小投资者权益保护力度，完善中小投资者权益保护机制，保障中小投资者的知情权、参与权，提升中小投资者维护合法权益的便利度。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第十七条　除法律、法规另有规定外，市场主体有权自主决定加入或者退出行业协会商会等社会组织，任何单位和个人不得干预。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除法律、法规另有规定外，任何单位和个人不得强制或者变相强制市场主体参加评比、达标、表彰、培训、考核、考试以及类似活动，不得借前述活动向市场主体收费或者变相收费。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第十八条　国家推动建立全国统一的市场主体维权服务平台，为市场主体提供高效、便捷的维权服务。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第三章　市场环境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第十九条　国家持续深化商事制度改革，统一企业登记业务规范，统一数据标准和平台服务接口，采用统一社会信用代码进行登记管理。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推进“证照分离”改革，持续精简涉企经营许可事项，依法采取直接取消审批、审批改为备案、实行告知承诺、优化审批服务等方式，对所有涉企经营许可事项进行分类管理，为企业取得营业执照后开展相关经营活动提供便利。除法律、行政法规规定的特定领域外，涉企经营许可事项不得作为企业登记的前置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政府有关部门应当按照国家有关规定，简化企业从申请设立到具备一般性经营条件所需办理的手续。在国家规定的企业开办时限内，各地区应当确定并公开具体办理时间。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企业申请办理住所等相关变更登记的，有关部门应当依法及时办理，不得限制。除法律、法规、规章另有规定外，企业迁移后其持有的有效许可证件不再重复办理。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第二十条　国家持续放宽市场准入，并实行全国统一的市场准入负面清单制度。市场准入负面清单以外的领域，各类市场主体均可以依法平等进入。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各地区、各部门不得另行制定市场准入性质的负面清单。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第二十一条　政府有关部门应当加大反垄断和反不正当竞争执法力度，有效预防和制止市场经济活动中的垄断行为、不正当竞争行为以及滥用行政权力排除、限制竞争的行为，营造公平竞争的市场环境。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第二十二条　国家建立健全统一开放、竞争有序的人力资源市场体系，打破城乡、地区、行业分割和身份、性别等歧视，促进人力资源有序社会性流动和合理配置。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第二十三条　政府及其有关部门应当完善政策措施、强化创新服务，鼓励和支持市场主体拓展创新空间，持续推进产品、技术、商业模式、管理等创新，充分发挥市场主体在推动科技成果转化中的作用。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第二十四条　政府及其有关部门应当严格落实国家各项减税降费政策，及时研究解决政策落实中的具体问题，确保减税降费政策全面、及时惠及市场主体。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第二十五条　设立政府性基金、涉企行政事业性收费、涉企保证金，应当有法律、行政法规依据或者经国务院批准。对政府性基金、涉企行政事业性收费、涉企保证金以及实行政府定价的经营服务性收费，实行目录清单管理并向社会公开，目录清单之外的前述收费和保证金一律不得执行。推广以金融机构保函替代现金缴纳涉企保证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第二十六条　国家鼓励和支持金融机构加大对民营企业、中小企业的支持力度，降低民营企业、中小企业综合融资成本。</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金融监督管理部门应当完善对商业银行等金融机构的监管考核和激励机制，鼓励、引导其增加对民营企业、中小企业的信贷投放，并合理增加中长期贷款和信用贷款支持，提高贷款审批效率。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商业银行等金融机构在授信中不得设置不合理条件，不得对民营企业、中小企业设置歧视性要求。商业银行等金融机构应当按照国家有关规定规范收费行为，不得违规向服务对象收取不合理费用。商业银行应当向社会公开开设企业账户的服务标准、资费标准和办理时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第二十七条　国家促进多层次资本市场规范健康发展，拓宽市场主体融资渠道，支持符合条件的民营企业、中小企业依法发行股票、债券以及其他融资工具，扩大直接融资规模。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第二十八条　供水、供电、供气、供热等公用企事业单位应当向社会公开服务标准、资费标准等信息，为市场主体提供安全、便捷、稳定和价格合理的服务，不得强迫市场主体接受不合理的服务条件，不得以任何名义收取不合理费用。各地区应当优化报装流程，在国家规定的报装办理时限内确定并公开具体办理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政府有关部门应当加强对公用企事业单位运营的监督管理。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第二十九条　行业协会商会应当依照法律、法规和章程，加强行业自律，及时反映行业诉求，为市场主体提供信息咨询、宣传培训、市场拓展、权益保护、纠纷处理等方面的服务。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国家依法严格规范行业协会商会的收费、评比、认证等行为。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第三十条　国家加强社会信用体系建设，持续推进政务诚信、商务诚信、社会诚信和司法公信建设，提高全社会诚信意识和信用水平，维护信用信息安全，严格保护商业秘密和个人隐私。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第三十一条　地方各级人民政府及其有关部门应当履行向市场主体依法作出的政策承诺以及依法订立的各类合同，不得以行政区划调整、政府换届、机构或者职能调整以及相关责任人更替等为由违约毁约。因国家利益、社会公共利益需要改变政策承诺、合同约定的，应当依照法定权限和程序进行，并依法对市场主体因此受到的损失予以补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第三十二条　国家机关、事业单位不得违约拖欠市场主体的货物、工程、服务等账款，大型企业不得利用优势地位拖欠中小企业账款。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县级以上人民政府及其有关部门应当加大对国家机关、事业单位拖欠市场主体账款的清理力度，并通过加强预算管理、严格责任追究等措施，建立防范和治理国家机关、事业单位拖欠市场主体账款的长效机制。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第三十三条　政府有关部门应当优化市场主体注销办理流程，精简申请材料、压缩办理时间、降低注销成本。对设立后未开展生产经营活动或者无债权债务的市场主体，可以按照简易程序办理注销。对有债权债务的市场主体，在债权债务依法解决后及时办理注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县级以上地方人民政府应当根据需要建立企业破产工作协调机制，协调解决企业破产过程中涉及的有关问题。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第四章　政务服务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第三十四条　政府及其有关部门应当进一步增强服务意识，切实转变工作作风，为市场主体提供规范、便利、高效的政务服务。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第三十五条　政府及其有关部门应当推进政务服务标准化，按照减环节、减材料、减时限的要求，编制并向社会公开政务服务事项（包括行政权力事项和公共服务事项，下同）标准化工作流程和办事指南，细化量化政务服务标准，压缩自由裁量权，推进同一事项实行无差别受理、同标准办理。没有法律、法规、规章依据，不得增设政务服务事项的办理条件和环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第三十六条　政府及其有关部门办理政务服务事项，应当根据实际情况，推行当场办结、一次办结、限时办结等制度，实现集中办理、就近办理、网上办理、异地可办。需要市场主体补正有关材料、手续的，应当一次性告知需要补正的内容；需要进行现场踏勘、现场核查、技术审查、听证论证的，应当及时安排、限时办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律、法规、规章以及国家有关规定对政务服务事项办理时限有规定的，应当在规定的时限内尽快办结；没有规定的，应当按照合理、高效的原则确定办理时限并按时办结。各地区可以在国家规定的政务服务事项办理时限内进一步压减时间，并应当向社会公开；超过办理时间的，办理单位应当公开说明理由。</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地方各级人民政府已设立政务服务大厅的，本行政区域内各类政务服务事项一般应当进驻政务服务大厅统一办理。对政务服务大厅中部门分设的服务窗口，应当创造条件整合为综合窗口，提供一站式服务。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第三十七条　国家加快建设全国一体化在线政务服务平台（以下称一体化在线平台），推动政务服务事项在全国范围内实现“一网通办”。除法律、法规另有规定或者涉及国家秘密等情形外，政务服务事项应当按照国务院确定的步骤，纳入一体化在线平台办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依托一体化在线平台，推动政务信息系统整合，优化政务流程，促进政务服务跨地区、跨部门、跨层级数据共享和业务协同。政府及其有关部门应当按照国家有关规定，提供数据共享服务，及时将有关政务服务数据上传至一体化在线平台，加强共享数据使用全过程管理，确保共享数据安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国家建立电子证照共享服务系统，实现电子证照跨地区、跨部门共享和全国范围内互信互认。各地区、各部门应当加强电子证照的推广应用。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各地区、各部门应当推动政务服务大厅与政务服务平台全面对接融合。市场主体有权自主选择政务服务办理渠道，行政机关不得限定办理渠道。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第三十八条　政府及其有关部门应当通过政府网站、一体化在线平台，集中公布涉及市场主体的法律、法规、规章、行政规范性文件和各类政策措施，并通过多种途径和方式加强宣传解读。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第三十九条　国家严格控制新设行政许可。新设行政许可应当按照行政许可法和国务院的规定严格设定标准，并进行合法性、必要性和合理性审查论证。对通过事中事后监管或者市场机制能够解决以及行政许可法和国务院规定不得设立行政许可的事项，一律不得设立行政许可，严禁以备案、登记、注册、目录、规划、年检、年报、监制、认定、认证、审定以及其他任何形式变相设定或者实施行政许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法律、行政法规和国务院决定对相关管理事项已作出规定，但未采取行政许可管理方式的，地方不得就该事项设定行政许可。对相关管理事项尚未制定法律、行政法规的，地方可以依法就该事项设定行政许可。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第四十条　国家实行行政许可清单管理制度，适时调整行政许可清单并向社会公布，清单之外不得违法实施行政许可。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国家大力精简已有行政许可。对已取消的行政许可，行政机关不得继续实施或者变相实施，不得转由行业协会商会或者其他组织实施。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对实行行政许可管理的事项，行政机关应当通过整合实施、下放审批层级等多种方式，优化审批服务，提高审批效率，减轻市场主体负担。符合相关条件和要求的，可以按照有关规定采取告知承诺的方式办理。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第四十一条　县级以上地方人民政府应当深化投资审批制度改革，根据项目性质、投资规模等分类规范投资审批程序，精简审批要件，简化技术审查事项，强化项目决策与用地、规划等建设条件落实的协同，实行与相关审批在线并联办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第四十二条　设区的市级以上地方人民政府应当按照国家有关规定，优化工程建设项目（不包括特殊工程和交通、水利、能源等领域的重大工程）审批流程，推行并联审批、多图联审、联合竣工验收等方式，简化审批手续，提高审批效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依法设立的开发区、新区和其他有条件的区域，按照国家有关规定推行区域评估，由设区的市级以上地方人民政府组织对一定区域内压覆重要矿产资源、地质灾害危险性等事项进行统一评估，不再对区域内的市场主体单独提出评估要求。区域评估的费用不得由市场主体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第四十三条　作为办理行政审批条件的中介服务事项（以下称法定行政审批中介服务）应当有法律、法规或者国务院决定依据；没有依据的，不得作为办理行政审批的条件。中介服务机构应当明确办理法定行政审批中介服务的条件、流程、时限、收费标准，并向社会公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加快推进中介服务机构与行政机关脱钩。行政机关不得为市场主体指定或者变相指定中介服务机构；除法定行政审批中介服务外，不得强制或者变相强制市场主体接受中介服务。行政机关所属事业单位、主管的社会组织及其举办的企业不得开展与本机关所负责行政审批相关的中介服务，法律、行政法规另有规定的除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行政机关在行政审批过程中需要委托中介服务机构开展技术性服务的，应当通过竞争性方式选择中介服务机构，并自行承担服务费用，不得转嫁给市场主体承担。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第四十四条　证明事项应当有法律、法规或者国务院决定依据。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设定证明事项，应当坚持确有必要、从严控制的原则。对通过法定证照、法定文书、书面告知承诺、政府部门内部核查和部门间核查、网络核验、合同凭证等能够办理，能够被其他材料涵盖或者替代，以及开具单位无法调查核实的，不得设定证明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政府有关部门应当公布证明事项清单，逐项列明设定依据、索要单位、开具单位、办理指南等。清单之外，政府部门、公用企事业单位和服务机构不得索要证明。各地区、各部门之间应当加强证明的互认共享，避免重复索要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第四十五条　政府及其有关部门应当按照国家促进跨境贸易便利化的有关要求，依法削减进出口环节审批事项，取消不必要的监管要求，优化简化通关流程，提高通关效率，清理规范口岸收费，降低通关成本，推动口岸和国际贸易领域相关业务统一通过国际贸易“单一窗口”办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第四十六条　税务机关应当精简办税资料和流程，简并申报缴税次数，公开涉税事项办理时限，压减办税时间，加大推广使用电子发票的力度，逐步实现全程网上办税，持续优化纳税服务。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第四十七条　不动产登记机构应当按照国家有关规定，加强部门协作，实行不动产登记、交易和缴税一窗受理、并行办理，压缩办理时间，降低办理成本。在国家规定的不动产登记时限内，各地区应当确定并公开具体办理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国家推动建立统一的动产和权利担保登记公示系统，逐步实现市场主体在一个平台上办理动产和权利担保登记。纳入统一登记公示系统的动产和权利范围另行规定。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第四十八条　政府及其有关部门应当按照构建亲清新型政商关系的要求，建立畅通有效的政企沟通机制，采取多种方式及时听取市场主体的反映和诉求，了解市场主体生产经营中遇到的困难和问题，并依法帮助其解决。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建立政企沟通机制，应当充分尊重市场主体意愿，增强针对性和有效性，不得干扰市场主体正常生产经营活动，不得增加市场主体负担。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第四十九条　政府及其有关部门应当建立便利、畅通的渠道，受理有关营商环境的投诉和举报。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第五十条　新闻媒体应当及时、准确宣传优化营商环境的措施和成效，为优化营商环境创造良好舆论氛围。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国家鼓励对营商环境进行舆论监督，但禁止捏造虚假信息或者歪曲事实进行不实报道。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第五章　监管执法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第五十一条　政府有关部门应当严格按照法律法规和职责，落实监管责任，明确监管对象和范围、厘清监管事权，依法对市场主体进行监管，实现监管全覆盖。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第五十二条　国家健全公开透明的监管规则和标准体系。国务院有关部门应当分领域制定全国统一、简明易行的监管规则和标准，并向社会公开。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第五十三条　政府及其有关部门应当按照国家关于加快构建以信用为基础的新型监管机制的要求，创新和完善信用监管，强化信用监管的支撑保障，加强信用监管的组织实施，不断提升信用监管效能。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第五十四条　国家推行“双随机、一公开”监管，除直接涉及公共安全和人民群众生命健康等特殊行业、重点领域外，市场监管领域的行政检查应当通过随机抽取检查对象、随机选派执法检查人员、抽查事项及查处结果及时向社会公开的方式进行。针对同一检查对象的多个检查事项，应当尽可能合并或者纳入跨部门联合抽查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直接涉及公共安全和人民群众生命健康等特殊行业、重点领域，依法依规实行全覆盖的重点监管，并严格规范重点监管的程序；对通过投诉举报、转办交办、数据监测等发现的问题，应当有针对性地进行检查并依法依规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第五十五条　政府及其有关部门应当按照鼓励创新的原则，对新技术、新产业、新业态、新模式等实行包容审慎监管，针对其性质、特点分类制定和实行相应的监管规则和标准，留足发展空间，同时确保质量和安全，不得简单化予以禁止或者不予监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第五十六条　政府及其有</w:t>
      </w:r>
      <w:bookmarkStart w:id="0" w:name="_GoBack"/>
      <w:bookmarkEnd w:id="0"/>
      <w:r>
        <w:rPr>
          <w:rFonts w:hint="eastAsia" w:ascii="宋体" w:hAnsi="宋体" w:eastAsia="宋体" w:cs="宋体"/>
          <w:sz w:val="24"/>
          <w:szCs w:val="24"/>
        </w:rPr>
        <w:t>关部门应当充分运用互联网、大数据等技术手段，依托国家统一建立的在线监管系统，加强监管信息归集共享和关联整合，推行以远程监管、移动监管、预警防控为特征的非现场监管，提升监管的精准化、智能化水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第五十七条　国家建立健全跨部门、跨区域行政执法联动响应和协作机制，实现违法线索互联、监管标准互通、处理结果互认。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国家统筹配置行政执法职能和执法资源，在相关领域推行综合行政执法，整合精简执法队伍，减少执法主体和执法层级，提高基层执法能力。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第五十八条　行政执法机关应当按照国家有关规定，全面落实行政执法公示、行政执法全过程记录和重大行政执法决定法制审核制度，实现行政执法信息及时准确公示、行政执法全过程留痕和可回溯管理、重大行政执法决定法制审核全覆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第五十九条　行政执法中应当推广运用说服教育、劝导示范、行政指导等非强制性手段，依法慎重实施行政强制。采用非强制性手段能够达到行政管理目的的，不得实施行政强制；违法行为情节轻微或者社会危害较小的，可以不实施行政强制；确需实施行政强制的，应当尽可能减少对市场主体正常生产经营活动的影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展清理整顿、专项整治等活动，应当严格依法进行，除涉及人民群众生命安全、发生重特大事故或者举办国家重大活动，并报经有权机关批准外，不得在相关区域采取要求相关行业、领域的市场主体普遍停产、停业的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禁止将罚没收入与行政执法机关利益挂钩。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第六十条　国家健全行政执法自由裁量基准制度，合理确定裁量范围、种类和幅度，规范行政执法自由裁量权的行使。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第六章　法治保障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第六十一条　国家根据优化营商环境需要，依照法定权限和程序及时制定或者修改、废止有关法律、法规、规章、行政规范性文件。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优化营商环境的改革措施涉及调整实施现行法律、行政法规等有关规定的，依照法定程序经有权机关授权后，可以先行先试。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第六十二条　制定与市场主体生产经营活动密切相关的行政法规、规章、行政规范性文件，应当按照国务院的规定，充分听取市场主体、行业协会商会的意见。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除依法需要保密外，制定与市场主体生产经营活动密切相关的行政法规、规章、行政规范性文件，应当通过报纸、网络等向社会公开征求意见，并建立健全意见采纳情况反馈机制。向社会公开征求意见的期限一般不少于30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第六十三条　制定与市场主体生产经营活动密切相关的行政法规、规章、行政规范性文件，应当按照国务院的规定进行公平竞争审查。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制定涉及市场主体权利义务的行政规范性文件，应当按照国务院的规定进行合法性审核。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市场主体认为地方性法规同行政法规相抵触，或者认为规章同法律、行政法规相抵触的，可以向国务院书面提出审查建议，由有关机关按照规定程序处理。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第六十四条　没有法律、法规或者国务院决定和命令依据的，行政规范性文件不得减损市场主体合法权益或者增加其义务，不得设置市场准入和退出条件，不得干预市场主体正常生产经营活动。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涉及市场主体权利义务的行政规范性文件应当按照法定要求和程序予以公布，未经公布的不得作为行政管理依据。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第六十五条　制定与市场主体生产经营活动密切相关的行政法规、规章、行政规范性文件，应当结合实际，确定是否为市场主体留出必要的适应调整期。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政府及其有关部门应当统筹协调、合理把握规章、行政规范性文件等的出台节奏，全面评估政策效果，避免因政策叠加或者相互不协调对市场主体正常生产经营活动造成不利影响。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第六十六条　国家完善调解、仲裁、行政裁决、行政复议、诉讼等有机衔接、相互协调的多元化纠纷解决机制，为市场主体提供高效、便捷的纠纷解决途径。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第六十七条　国家加强法治宣传教育，落实国家机关普法责任制，提高国家工作人员依法履职能力，引导市场主体合法经营、依法维护自身合法权益，不断增强全社会的法治意识，为营造法治化营商环境提供基础性支撑。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第六十八条　政府及其有关部门应当整合律师、公证、司法鉴定、调解、仲裁等公共法律服务资源，加快推进公共法律服务体系建设，全面提升公共法律服务能力和水平，为优化营商环境提供全方位法律服务。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第六十九条　政府和有关部门及其工作人员有下列情形之一的，依法依规追究责任：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（一）违法干预应当由市场主体自主决策的事项；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（二）制定或者实施政策措施不依法平等对待各类市场主体；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（三）违反法定权限、条件、程序对市场主体的财产和企业经营者个人财产实施查封、冻结和扣押等行政强制措施；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（四）在法律、法规规定之外要求市场主体提供财力、物力或者人力；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（五）没有法律、法规依据，强制或者变相强制市场主体参加评比、达标、表彰、培训、考核、考试以及类似活动，或者借前述活动向市场主体收费或者变相收费；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（六）违法设立或者在目录清单之外执行政府性基金、涉企行政事业性收费、涉企保证金；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（七）不履行向市场主体依法作出的政策承诺以及依法订立的各类合同，或者违约拖欠市场主体的货物、工程、服务等账款；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（八）变相设定或者实施行政许可，继续实施或者变相实施已取消的行政许可，或者转由行业协会商会或者其他组织实施已取消的行政许可；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（九）为市场主体指定或者变相指定中介服务机构，或者违法强制市场主体接受中介服务；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（十）制定与市场主体生产经营活动密切相关的行政法规、规章、行政规范性文件时，不按照规定听取市场主体、行业协会商会的意见；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（十一）其他不履行优化营商环境职责或者损害营商环境的情形。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第七十条　公用企事业单位有下列情形之一的，由有关部门责令改正，依法追究法律责任：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（一）不向社会公开服务标准、资费标准、办理时限等信息；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（二）强迫市场主体接受不合理的服务条件；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（三）向市场主体收取不合理费用。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第七十一条　行业协会商会、中介服务机构有下列情形之一的，由有关部门责令改正，依法追究法律责任：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（一）违法开展收费、评比、认证等行为；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（二）违法干预市场主体加入或者退出行业协会商会等社会组织；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（三）没有法律、法规依据，强制或者变相强制市场主体参加评比、达标、表彰、培训、考核、考试以及类似活动，或者借前述活动向市场主体收费或者变相收费；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（四）不向社会公开办理法定行政审批中介服务的条件、流程、时限、收费标准；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（五）违法强制或者变相强制市场主体接受中介服务。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第七章　附　　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第七十二条　本条例自2020年1月1日起施行。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iODI2MmE0OTRiMGE0NTEyNzcyMTNmNDM3OTRiYjQifQ=="/>
  </w:docVars>
  <w:rsids>
    <w:rsidRoot w:val="56B021A1"/>
    <w:rsid w:val="07DC15A0"/>
    <w:rsid w:val="22FF33ED"/>
    <w:rsid w:val="48DC589D"/>
    <w:rsid w:val="56B021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5">
    <w:name w:val="FollowedHyperlink"/>
    <w:basedOn w:val="4"/>
    <w:uiPriority w:val="0"/>
    <w:rPr>
      <w:color w:val="000000"/>
      <w:u w:val="none"/>
    </w:rPr>
  </w:style>
  <w:style w:type="character" w:styleId="6">
    <w:name w:val="Hyperlink"/>
    <w:basedOn w:val="4"/>
    <w:uiPriority w:val="0"/>
    <w:rPr>
      <w:color w:val="000000"/>
      <w:u w:val="none"/>
    </w:rPr>
  </w:style>
  <w:style w:type="character" w:styleId="7">
    <w:name w:val="HTML Code"/>
    <w:basedOn w:val="4"/>
    <w:uiPriority w:val="0"/>
    <w:rPr>
      <w:rFonts w:ascii="Courier New" w:hAnsi="Courier New"/>
      <w:sz w:val="20"/>
    </w:rPr>
  </w:style>
  <w:style w:type="character" w:customStyle="1" w:styleId="8">
    <w:name w:val="name"/>
    <w:basedOn w:val="4"/>
    <w:uiPriority w:val="0"/>
    <w:rPr>
      <w:color w:val="6A6A6A"/>
      <w:u w:val="single"/>
    </w:rPr>
  </w:style>
  <w:style w:type="character" w:customStyle="1" w:styleId="9">
    <w:name w:val="dates"/>
    <w:basedOn w:val="4"/>
    <w:uiPriority w:val="0"/>
  </w:style>
  <w:style w:type="character" w:customStyle="1" w:styleId="10">
    <w:name w:val="m01"/>
    <w:basedOn w:val="4"/>
    <w:uiPriority w:val="0"/>
  </w:style>
  <w:style w:type="character" w:customStyle="1" w:styleId="11">
    <w:name w:val="m011"/>
    <w:basedOn w:val="4"/>
    <w:uiPriority w:val="0"/>
  </w:style>
  <w:style w:type="character" w:customStyle="1" w:styleId="12">
    <w:name w:val="gwds_nopic"/>
    <w:basedOn w:val="4"/>
    <w:uiPriority w:val="0"/>
  </w:style>
  <w:style w:type="character" w:customStyle="1" w:styleId="13">
    <w:name w:val="tabg"/>
    <w:basedOn w:val="4"/>
    <w:uiPriority w:val="0"/>
    <w:rPr>
      <w:color w:val="FFFFFF"/>
      <w:sz w:val="27"/>
      <w:szCs w:val="27"/>
    </w:rPr>
  </w:style>
  <w:style w:type="character" w:customStyle="1" w:styleId="14">
    <w:name w:val="laypage_curr"/>
    <w:basedOn w:val="4"/>
    <w:uiPriority w:val="0"/>
    <w:rPr>
      <w:color w:val="FFFDF4"/>
      <w:shd w:val="clear" w:fill="0B67A6"/>
    </w:rPr>
  </w:style>
  <w:style w:type="character" w:customStyle="1" w:styleId="15">
    <w:name w:val="bg01"/>
    <w:basedOn w:val="4"/>
    <w:uiPriority w:val="0"/>
  </w:style>
  <w:style w:type="character" w:customStyle="1" w:styleId="16">
    <w:name w:val="bg02"/>
    <w:basedOn w:val="4"/>
    <w:uiPriority w:val="0"/>
  </w:style>
  <w:style w:type="character" w:customStyle="1" w:styleId="17">
    <w:name w:val="more4"/>
    <w:basedOn w:val="4"/>
    <w:uiPriority w:val="0"/>
    <w:rPr>
      <w:color w:val="666666"/>
      <w:sz w:val="18"/>
      <w:szCs w:val="18"/>
    </w:rPr>
  </w:style>
  <w:style w:type="character" w:customStyle="1" w:styleId="18">
    <w:name w:val="hover22"/>
    <w:basedOn w:val="4"/>
    <w:uiPriority w:val="0"/>
    <w:rPr>
      <w:color w:val="015293"/>
    </w:rPr>
  </w:style>
  <w:style w:type="character" w:customStyle="1" w:styleId="19">
    <w:name w:val="font"/>
    <w:basedOn w:val="4"/>
    <w:uiPriority w:val="0"/>
  </w:style>
  <w:style w:type="character" w:customStyle="1" w:styleId="20">
    <w:name w:val="font1"/>
    <w:basedOn w:val="4"/>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10188</Words>
  <Characters>10207</Characters>
  <Lines>0</Lines>
  <Paragraphs>0</Paragraphs>
  <TotalTime>49</TotalTime>
  <ScaleCrop>false</ScaleCrop>
  <LinksUpToDate>false</LinksUpToDate>
  <CharactersWithSpaces>10312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2019-10-28T00:39:00Z</dcterms:created>
  <dc:creator>cheng'zhen</dc:creator>
  <cp:lastModifiedBy>樊倩倩</cp:lastModifiedBy>
  <cp:lastPrinted>2019-10-28T01:27:00Z</cp:lastPrinted>
  <dcterms:modified xsi:type="dcterms:W3CDTF">2023-01-03T08:15:54Z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03CC910858504B0C914810CC90BAD43A</vt:lpwstr>
  </property>
</Properties>
</file>